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A667" w14:textId="078FBD59" w:rsidR="005E5911" w:rsidRPr="009362CD" w:rsidRDefault="00C50A0C" w:rsidP="009362CD">
      <w:pPr>
        <w:spacing w:line="276" w:lineRule="auto"/>
        <w:jc w:val="center"/>
        <w:rPr>
          <w:rFonts w:ascii="Arial" w:hAnsi="Arial" w:cs="Arial"/>
          <w:color w:val="2E74B5" w:themeColor="accent1" w:themeShade="BF"/>
          <w:lang w:val="es-ES_tradnl"/>
        </w:rPr>
      </w:pPr>
      <w:bookmarkStart w:id="0" w:name="_Toc102058765"/>
      <w:bookmarkStart w:id="1" w:name="_GoBack"/>
      <w:bookmarkEnd w:id="1"/>
      <w:r>
        <w:rPr>
          <w:rFonts w:ascii="Arial" w:hAnsi="Arial" w:cs="Arial"/>
          <w:color w:val="2E74B5" w:themeColor="accent1" w:themeShade="BF"/>
          <w:lang w:val="es-ES_tradnl"/>
        </w:rPr>
        <w:t>Plan de infraestructura de Colombia</w:t>
      </w:r>
      <w:r w:rsidR="009362CD">
        <w:rPr>
          <w:rFonts w:ascii="Arial" w:hAnsi="Arial" w:cs="Arial"/>
          <w:color w:val="2E74B5" w:themeColor="accent1" w:themeShade="BF"/>
          <w:lang w:val="es-ES_tradnl"/>
        </w:rPr>
        <w:t xml:space="preserve"> </w:t>
      </w:r>
    </w:p>
    <w:bookmarkEnd w:id="0"/>
    <w:p w14:paraId="727283C2" w14:textId="6C7884C5" w:rsidR="00464C3F" w:rsidRDefault="00464C3F" w:rsidP="00AC42D0">
      <w:pPr>
        <w:spacing w:line="276" w:lineRule="auto"/>
        <w:jc w:val="both"/>
        <w:rPr>
          <w:rFonts w:ascii="Arial" w:hAnsi="Arial" w:cs="Arial"/>
          <w:b/>
          <w:i/>
          <w:lang w:val="es-ES_tradnl"/>
        </w:rPr>
      </w:pPr>
      <w:r>
        <w:rPr>
          <w:rFonts w:ascii="Arial" w:hAnsi="Arial" w:cs="Arial"/>
          <w:b/>
          <w:i/>
          <w:lang w:val="es-ES_tradnl"/>
        </w:rPr>
        <w:t>Colombia ejecuta el mayor plan de infraestructura de su historia y uno de los mayores en América Latina.</w:t>
      </w:r>
    </w:p>
    <w:p w14:paraId="094D5077" w14:textId="668A6769" w:rsidR="00464C3F" w:rsidRDefault="00464C3F" w:rsidP="009362CD">
      <w:pPr>
        <w:spacing w:line="276" w:lineRule="auto"/>
        <w:jc w:val="both"/>
        <w:rPr>
          <w:rFonts w:ascii="Arial" w:hAnsi="Arial" w:cs="Arial"/>
          <w:b/>
          <w:i/>
          <w:lang w:val="es-ES_tradnl"/>
        </w:rPr>
      </w:pPr>
      <w:r>
        <w:rPr>
          <w:rFonts w:ascii="Arial" w:hAnsi="Arial" w:cs="Arial"/>
          <w:b/>
          <w:i/>
          <w:lang w:val="es-ES_tradnl"/>
        </w:rPr>
        <w:t>Uno de los programas (4G) está en plena ejecución, mientras que el siguiente plan (5G) avanza en el proceso de contratación.</w:t>
      </w:r>
    </w:p>
    <w:p w14:paraId="6E91C8C2" w14:textId="66AE0C12" w:rsidR="0076377E" w:rsidRDefault="00464C3F" w:rsidP="009362CD">
      <w:pPr>
        <w:spacing w:line="276" w:lineRule="auto"/>
        <w:jc w:val="both"/>
        <w:rPr>
          <w:rFonts w:ascii="Arial" w:hAnsi="Arial" w:cs="Arial"/>
          <w:b/>
          <w:i/>
          <w:lang w:val="es-ES_tradnl"/>
        </w:rPr>
      </w:pPr>
      <w:r>
        <w:rPr>
          <w:rFonts w:ascii="Arial" w:hAnsi="Arial" w:cs="Arial"/>
          <w:b/>
          <w:i/>
          <w:lang w:val="es-ES_tradnl"/>
        </w:rPr>
        <w:t>A todo esto</w:t>
      </w:r>
      <w:r w:rsidR="00EC0F8B">
        <w:rPr>
          <w:rFonts w:ascii="Arial" w:hAnsi="Arial" w:cs="Arial"/>
          <w:b/>
          <w:i/>
          <w:lang w:val="es-ES_tradnl"/>
        </w:rPr>
        <w:t>,</w:t>
      </w:r>
      <w:r>
        <w:rPr>
          <w:rFonts w:ascii="Arial" w:hAnsi="Arial" w:cs="Arial"/>
          <w:b/>
          <w:i/>
          <w:lang w:val="es-ES_tradnl"/>
        </w:rPr>
        <w:t xml:space="preserve"> se suman otros programas para mejorar la movilidad entre ciudades más pequeñas pero estratégicas y vías para mejorar la conectividad en el prolífico campo colombiano.</w:t>
      </w:r>
    </w:p>
    <w:p w14:paraId="7AA17FCD" w14:textId="7D7F2163" w:rsidR="00B7779A" w:rsidRPr="00C50A0C" w:rsidRDefault="00C50A0C" w:rsidP="009362CD">
      <w:pPr>
        <w:spacing w:line="276" w:lineRule="auto"/>
        <w:jc w:val="both"/>
        <w:rPr>
          <w:rFonts w:ascii="Arial" w:hAnsi="Arial" w:cs="Arial"/>
          <w:lang w:val="es-ES_tradnl"/>
        </w:rPr>
      </w:pPr>
      <w:r w:rsidRPr="00C50A0C">
        <w:rPr>
          <w:rFonts w:ascii="Arial" w:hAnsi="Arial" w:cs="Arial"/>
          <w:b/>
          <w:i/>
          <w:lang w:val="es-ES_tradnl"/>
        </w:rPr>
        <w:t>P</w:t>
      </w:r>
      <w:r w:rsidR="004E109F">
        <w:rPr>
          <w:rFonts w:ascii="Arial" w:hAnsi="Arial" w:cs="Arial"/>
          <w:b/>
          <w:i/>
          <w:lang w:val="es-ES_tradnl"/>
        </w:rPr>
        <w:t>lan</w:t>
      </w:r>
      <w:r w:rsidRPr="00C50A0C">
        <w:rPr>
          <w:rFonts w:ascii="Arial" w:hAnsi="Arial" w:cs="Arial"/>
          <w:b/>
          <w:i/>
          <w:lang w:val="es-ES_tradnl"/>
        </w:rPr>
        <w:t xml:space="preserve"> vial</w:t>
      </w:r>
      <w:r>
        <w:rPr>
          <w:rFonts w:ascii="Arial" w:hAnsi="Arial" w:cs="Arial"/>
          <w:b/>
          <w:i/>
          <w:lang w:val="es-ES_tradnl"/>
        </w:rPr>
        <w:t xml:space="preserve"> </w:t>
      </w:r>
      <w:r w:rsidR="00464C3F">
        <w:rPr>
          <w:rFonts w:ascii="Arial" w:hAnsi="Arial" w:cs="Arial"/>
          <w:b/>
          <w:i/>
          <w:lang w:val="es-ES_tradnl"/>
        </w:rPr>
        <w:t xml:space="preserve">nacional en </w:t>
      </w:r>
      <w:r w:rsidR="004E109F">
        <w:rPr>
          <w:rFonts w:ascii="Arial" w:hAnsi="Arial" w:cs="Arial"/>
          <w:b/>
          <w:i/>
          <w:lang w:val="es-ES_tradnl"/>
        </w:rPr>
        <w:t>ejecución (4G)</w:t>
      </w:r>
    </w:p>
    <w:p w14:paraId="7D313F68" w14:textId="37F4AC54" w:rsidR="00E53A1F" w:rsidRPr="00E53A1F" w:rsidRDefault="00E53A1F" w:rsidP="00E53A1F">
      <w:pPr>
        <w:pStyle w:val="ListParagraph"/>
        <w:numPr>
          <w:ilvl w:val="0"/>
          <w:numId w:val="31"/>
        </w:numPr>
        <w:jc w:val="both"/>
        <w:rPr>
          <w:rFonts w:ascii="Arial" w:hAnsi="Arial" w:cs="Arial"/>
          <w:lang w:val="es-ES_tradnl"/>
        </w:rPr>
      </w:pPr>
      <w:r w:rsidRPr="00E53A1F">
        <w:rPr>
          <w:rFonts w:ascii="Arial" w:hAnsi="Arial" w:cs="Arial"/>
          <w:lang w:val="es-ES_tradnl"/>
        </w:rPr>
        <w:t>Con corte a 30 de abril de 2022, el avance promedio de ejecución de los proyectos que conforman la Cuarta Generación de Concesiones Viales (en adelante, 4G) es 65,67%, esto representa una variación de 4</w:t>
      </w:r>
      <w:r>
        <w:rPr>
          <w:rFonts w:ascii="Arial" w:hAnsi="Arial" w:cs="Arial"/>
          <w:lang w:val="es-ES_tradnl"/>
        </w:rPr>
        <w:t xml:space="preserve">9,58 puntos porcentuales (p.p.) </w:t>
      </w:r>
      <w:r w:rsidRPr="00E53A1F">
        <w:rPr>
          <w:rFonts w:ascii="Arial" w:hAnsi="Arial" w:cs="Arial"/>
          <w:lang w:val="es-ES_tradnl"/>
        </w:rPr>
        <w:t>respecto a agosto de 2018, una variación de 27,60 p.p. respecto a enero de 2020, una variación de 13,85 p.p. respecto a enero del año 2021 y una variación de 0,69 p.p. respecto a marzo de 2022.</w:t>
      </w:r>
    </w:p>
    <w:p w14:paraId="3B8691FE" w14:textId="100A7B84" w:rsidR="005E5911" w:rsidRPr="00654900" w:rsidRDefault="00E53A1F" w:rsidP="00E53A1F">
      <w:pPr>
        <w:pStyle w:val="ListParagraph"/>
        <w:numPr>
          <w:ilvl w:val="0"/>
          <w:numId w:val="31"/>
        </w:numPr>
        <w:spacing w:line="276" w:lineRule="auto"/>
        <w:jc w:val="both"/>
        <w:rPr>
          <w:rFonts w:ascii="Arial" w:hAnsi="Arial" w:cs="Arial"/>
          <w:lang w:val="es-ES_tradnl"/>
        </w:rPr>
      </w:pPr>
      <w:r w:rsidRPr="00E53A1F">
        <w:rPr>
          <w:rFonts w:ascii="Arial" w:hAnsi="Arial" w:cs="Arial"/>
          <w:lang w:val="es-ES_tradnl"/>
        </w:rPr>
        <w:t>En materia de inversión, a 30 de abril de 2022, se ha inyectado a la economía, en CAPEX, cerca de $33,62 billones - cifras 2021, (USD8.982 millones con la TRM promedio de 2021, que fue de $3.743), esto es, un 67,59% del total del CAPEX de las 4G que son $49,74 billones - cifras 2021 (USD13.288 millones). De estos $33,62 billones, cerca de $25,33 billones (USD6.767 millones) han sido invertidos entre agosto de 2018 y abril de 2022.</w:t>
      </w:r>
      <w:r w:rsidR="0054785A" w:rsidRPr="00654900">
        <w:rPr>
          <w:rFonts w:ascii="Arial" w:hAnsi="Arial" w:cs="Arial"/>
          <w:lang w:val="es-ES_tradnl"/>
        </w:rPr>
        <w:t>.</w:t>
      </w:r>
    </w:p>
    <w:tbl>
      <w:tblPr>
        <w:tblStyle w:val="TableGrid"/>
        <w:tblpPr w:leftFromText="141" w:rightFromText="141" w:vertAnchor="text" w:tblpXSpec="center" w:tblpY="1"/>
        <w:tblOverlap w:val="never"/>
        <w:tblW w:w="8784" w:type="dxa"/>
        <w:tblLook w:val="04A0" w:firstRow="1" w:lastRow="0" w:firstColumn="1" w:lastColumn="0" w:noHBand="0" w:noVBand="1"/>
      </w:tblPr>
      <w:tblGrid>
        <w:gridCol w:w="2405"/>
        <w:gridCol w:w="2410"/>
        <w:gridCol w:w="1134"/>
        <w:gridCol w:w="1417"/>
        <w:gridCol w:w="1418"/>
      </w:tblGrid>
      <w:tr w:rsidR="008E497A" w:rsidRPr="00531ACE" w14:paraId="1F29F798" w14:textId="77777777" w:rsidTr="00531ACE">
        <w:trPr>
          <w:trHeight w:val="700"/>
        </w:trPr>
        <w:tc>
          <w:tcPr>
            <w:tcW w:w="8784" w:type="dxa"/>
            <w:gridSpan w:val="5"/>
            <w:shd w:val="clear" w:color="auto" w:fill="2E74B5" w:themeFill="accent1" w:themeFillShade="BF"/>
          </w:tcPr>
          <w:p w14:paraId="349B904C" w14:textId="77777777" w:rsidR="008E497A" w:rsidRPr="00531ACE" w:rsidRDefault="008E497A" w:rsidP="009362CD">
            <w:pPr>
              <w:spacing w:line="276" w:lineRule="auto"/>
              <w:jc w:val="center"/>
              <w:rPr>
                <w:rFonts w:ascii="Arial" w:hAnsi="Arial" w:cs="Arial"/>
                <w:color w:val="FFFFFF" w:themeColor="background1"/>
                <w:sz w:val="17"/>
                <w:szCs w:val="17"/>
                <w:lang w:val="es-ES_tradnl"/>
              </w:rPr>
            </w:pPr>
          </w:p>
          <w:p w14:paraId="4EFB70FA" w14:textId="77777777" w:rsidR="008E497A" w:rsidRPr="00531ACE" w:rsidRDefault="008E497A" w:rsidP="009362CD">
            <w:pPr>
              <w:spacing w:line="276" w:lineRule="auto"/>
              <w:jc w:val="center"/>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PROYECTOS DE CUARTA GENERACIÓN (4G) A ENTREGAR ANTES DE FINALIZAR ESTE GOBIERNO</w:t>
            </w:r>
          </w:p>
        </w:tc>
      </w:tr>
      <w:tr w:rsidR="008E497A" w:rsidRPr="00531ACE" w14:paraId="1CBAFFF4" w14:textId="77777777" w:rsidTr="00531ACE">
        <w:tc>
          <w:tcPr>
            <w:tcW w:w="2405" w:type="dxa"/>
            <w:shd w:val="clear" w:color="auto" w:fill="2E74B5" w:themeFill="accent1" w:themeFillShade="BF"/>
          </w:tcPr>
          <w:p w14:paraId="280C54B7" w14:textId="77777777" w:rsidR="005E5911" w:rsidRPr="00531ACE" w:rsidRDefault="005E5911" w:rsidP="009362CD">
            <w:pPr>
              <w:spacing w:line="276" w:lineRule="auto"/>
              <w:jc w:val="center"/>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PROYECTO</w:t>
            </w:r>
          </w:p>
        </w:tc>
        <w:tc>
          <w:tcPr>
            <w:tcW w:w="2410" w:type="dxa"/>
            <w:shd w:val="clear" w:color="auto" w:fill="2E74B5" w:themeFill="accent1" w:themeFillShade="BF"/>
          </w:tcPr>
          <w:p w14:paraId="7C1AC9CB" w14:textId="77777777" w:rsidR="005E5911" w:rsidRPr="00531ACE" w:rsidRDefault="005E5911" w:rsidP="009362CD">
            <w:pPr>
              <w:spacing w:line="276" w:lineRule="auto"/>
              <w:jc w:val="center"/>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DEPARTAMENTOS DE INFLUENCIA</w:t>
            </w:r>
          </w:p>
        </w:tc>
        <w:tc>
          <w:tcPr>
            <w:tcW w:w="1134" w:type="dxa"/>
            <w:shd w:val="clear" w:color="auto" w:fill="2E74B5" w:themeFill="accent1" w:themeFillShade="BF"/>
          </w:tcPr>
          <w:p w14:paraId="2ABC5E5E" w14:textId="77777777" w:rsidR="005E5911" w:rsidRPr="00531ACE" w:rsidRDefault="005E5911" w:rsidP="009362CD">
            <w:pPr>
              <w:spacing w:line="276" w:lineRule="auto"/>
              <w:jc w:val="center"/>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FECHA DE ENTREGA</w:t>
            </w:r>
          </w:p>
        </w:tc>
        <w:tc>
          <w:tcPr>
            <w:tcW w:w="1417" w:type="dxa"/>
            <w:shd w:val="clear" w:color="auto" w:fill="2E74B5" w:themeFill="accent1" w:themeFillShade="BF"/>
          </w:tcPr>
          <w:p w14:paraId="177D0C1A" w14:textId="77777777" w:rsidR="005E5911" w:rsidRPr="00531ACE" w:rsidRDefault="005E5911" w:rsidP="009362CD">
            <w:pPr>
              <w:spacing w:line="276" w:lineRule="auto"/>
              <w:jc w:val="center"/>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 xml:space="preserve">VALOR </w:t>
            </w:r>
            <w:r w:rsidR="008E497A" w:rsidRPr="00531ACE">
              <w:rPr>
                <w:rFonts w:ascii="Arial" w:hAnsi="Arial" w:cs="Arial"/>
                <w:color w:val="FFFFFF" w:themeColor="background1"/>
                <w:sz w:val="17"/>
                <w:szCs w:val="17"/>
                <w:lang w:val="es-ES_tradnl"/>
              </w:rPr>
              <w:t>COP</w:t>
            </w:r>
            <w:r w:rsidR="00531ACE" w:rsidRPr="00531ACE">
              <w:rPr>
                <w:rFonts w:ascii="Arial" w:hAnsi="Arial" w:cs="Arial"/>
                <w:color w:val="FFFFFF" w:themeColor="background1"/>
                <w:sz w:val="17"/>
                <w:szCs w:val="17"/>
                <w:lang w:val="es-ES_tradnl"/>
              </w:rPr>
              <w:t xml:space="preserve"> (2021)</w:t>
            </w:r>
          </w:p>
        </w:tc>
        <w:tc>
          <w:tcPr>
            <w:tcW w:w="1418" w:type="dxa"/>
            <w:shd w:val="clear" w:color="auto" w:fill="2E74B5" w:themeFill="accent1" w:themeFillShade="BF"/>
          </w:tcPr>
          <w:p w14:paraId="3345EDA7" w14:textId="77777777" w:rsidR="005E5911" w:rsidRPr="00531ACE" w:rsidRDefault="005E5911" w:rsidP="009362CD">
            <w:pPr>
              <w:spacing w:line="276" w:lineRule="auto"/>
              <w:jc w:val="center"/>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VALOR USD</w:t>
            </w:r>
            <w:r w:rsidR="00B7779A" w:rsidRPr="00531ACE">
              <w:rPr>
                <w:rFonts w:ascii="Arial" w:hAnsi="Arial" w:cs="Arial"/>
                <w:color w:val="FFFFFF" w:themeColor="background1"/>
                <w:sz w:val="17"/>
                <w:szCs w:val="17"/>
                <w:lang w:val="es-ES_tradnl"/>
              </w:rPr>
              <w:t xml:space="preserve"> (TRM $3.743)</w:t>
            </w:r>
          </w:p>
        </w:tc>
      </w:tr>
      <w:tr w:rsidR="008E0BA1" w:rsidRPr="00531ACE" w14:paraId="76519339" w14:textId="77777777" w:rsidTr="00531ACE">
        <w:tc>
          <w:tcPr>
            <w:tcW w:w="2405" w:type="dxa"/>
          </w:tcPr>
          <w:p w14:paraId="4CF9F6C7" w14:textId="77777777" w:rsidR="005E5911" w:rsidRPr="00531ACE" w:rsidRDefault="005E591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IP Neiva Espinal Girardot</w:t>
            </w:r>
          </w:p>
        </w:tc>
        <w:tc>
          <w:tcPr>
            <w:tcW w:w="2410" w:type="dxa"/>
          </w:tcPr>
          <w:p w14:paraId="2C7D008B" w14:textId="77777777" w:rsidR="005E5911" w:rsidRPr="00531ACE" w:rsidRDefault="005E591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Huila, Tolima, Cundinamarca</w:t>
            </w:r>
          </w:p>
        </w:tc>
        <w:tc>
          <w:tcPr>
            <w:tcW w:w="1134" w:type="dxa"/>
          </w:tcPr>
          <w:p w14:paraId="528A9C94"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Mayo</w:t>
            </w:r>
          </w:p>
        </w:tc>
        <w:tc>
          <w:tcPr>
            <w:tcW w:w="1417" w:type="dxa"/>
          </w:tcPr>
          <w:p w14:paraId="2AA5A991" w14:textId="77777777" w:rsidR="005E5911"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$0,99 billones</w:t>
            </w:r>
          </w:p>
        </w:tc>
        <w:tc>
          <w:tcPr>
            <w:tcW w:w="1418" w:type="dxa"/>
          </w:tcPr>
          <w:p w14:paraId="3066E450" w14:textId="77777777" w:rsidR="005E5911"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USD264,4 millones</w:t>
            </w:r>
          </w:p>
        </w:tc>
      </w:tr>
      <w:tr w:rsidR="008E0BA1" w:rsidRPr="00531ACE" w14:paraId="6EDCBA83" w14:textId="77777777" w:rsidTr="00531ACE">
        <w:tc>
          <w:tcPr>
            <w:tcW w:w="2405" w:type="dxa"/>
          </w:tcPr>
          <w:p w14:paraId="3289DA75" w14:textId="77777777" w:rsidR="005E5911" w:rsidRPr="00531ACE" w:rsidRDefault="005E591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Autopista al Mar 1</w:t>
            </w:r>
          </w:p>
        </w:tc>
        <w:tc>
          <w:tcPr>
            <w:tcW w:w="2410" w:type="dxa"/>
          </w:tcPr>
          <w:p w14:paraId="6D8E91F1" w14:textId="77777777" w:rsidR="005E5911" w:rsidRPr="00531ACE" w:rsidRDefault="005E591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Antioquia</w:t>
            </w:r>
          </w:p>
        </w:tc>
        <w:tc>
          <w:tcPr>
            <w:tcW w:w="1134" w:type="dxa"/>
          </w:tcPr>
          <w:p w14:paraId="1181C9C8" w14:textId="77777777" w:rsidR="005E5911"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Mayo</w:t>
            </w:r>
          </w:p>
        </w:tc>
        <w:tc>
          <w:tcPr>
            <w:tcW w:w="1417" w:type="dxa"/>
          </w:tcPr>
          <w:p w14:paraId="3B26C19E" w14:textId="77777777" w:rsidR="005E5911"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$1,9 billones</w:t>
            </w:r>
          </w:p>
        </w:tc>
        <w:tc>
          <w:tcPr>
            <w:tcW w:w="1418" w:type="dxa"/>
          </w:tcPr>
          <w:p w14:paraId="58DE9A92" w14:textId="77777777" w:rsidR="005E5911"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USD507,6 millones</w:t>
            </w:r>
          </w:p>
        </w:tc>
      </w:tr>
      <w:tr w:rsidR="008E0BA1" w:rsidRPr="00531ACE" w14:paraId="697C5654" w14:textId="77777777" w:rsidTr="00531ACE">
        <w:tc>
          <w:tcPr>
            <w:tcW w:w="2405" w:type="dxa"/>
          </w:tcPr>
          <w:p w14:paraId="24EC2DE0" w14:textId="77777777" w:rsidR="005E5911" w:rsidRPr="00531ACE" w:rsidRDefault="005E591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Autopista Conexión Norte</w:t>
            </w:r>
          </w:p>
        </w:tc>
        <w:tc>
          <w:tcPr>
            <w:tcW w:w="2410" w:type="dxa"/>
          </w:tcPr>
          <w:p w14:paraId="13A8AEA3" w14:textId="77777777" w:rsidR="005E5911"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Antioquia</w:t>
            </w:r>
          </w:p>
        </w:tc>
        <w:tc>
          <w:tcPr>
            <w:tcW w:w="1134" w:type="dxa"/>
          </w:tcPr>
          <w:p w14:paraId="494068E6" w14:textId="77777777" w:rsidR="005E5911"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Mayo</w:t>
            </w:r>
          </w:p>
        </w:tc>
        <w:tc>
          <w:tcPr>
            <w:tcW w:w="1417" w:type="dxa"/>
          </w:tcPr>
          <w:p w14:paraId="4705168C" w14:textId="77777777" w:rsidR="005E5911"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$1,58 billones</w:t>
            </w:r>
          </w:p>
        </w:tc>
        <w:tc>
          <w:tcPr>
            <w:tcW w:w="1418" w:type="dxa"/>
          </w:tcPr>
          <w:p w14:paraId="293ECE48" w14:textId="77777777" w:rsidR="005E5911"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USD422,1 millones</w:t>
            </w:r>
          </w:p>
        </w:tc>
      </w:tr>
      <w:tr w:rsidR="008E0BA1" w:rsidRPr="00531ACE" w14:paraId="56FFD8A0" w14:textId="77777777" w:rsidTr="00531ACE">
        <w:tc>
          <w:tcPr>
            <w:tcW w:w="2405" w:type="dxa"/>
          </w:tcPr>
          <w:p w14:paraId="6208BADE" w14:textId="77777777" w:rsidR="005E5911" w:rsidRPr="00531ACE" w:rsidRDefault="005E5911" w:rsidP="009362CD">
            <w:pPr>
              <w:spacing w:line="276" w:lineRule="auto"/>
              <w:jc w:val="center"/>
              <w:rPr>
                <w:rFonts w:ascii="Arial" w:hAnsi="Arial" w:cs="Arial"/>
                <w:sz w:val="17"/>
                <w:szCs w:val="17"/>
                <w:lang w:val="es-ES_tradnl"/>
              </w:rPr>
            </w:pPr>
            <w:proofErr w:type="spellStart"/>
            <w:r w:rsidRPr="00531ACE">
              <w:rPr>
                <w:rFonts w:ascii="Arial" w:hAnsi="Arial" w:cs="Arial"/>
                <w:sz w:val="17"/>
                <w:szCs w:val="17"/>
                <w:lang w:val="es-ES_tradnl"/>
              </w:rPr>
              <w:t>Chirajara</w:t>
            </w:r>
            <w:proofErr w:type="spellEnd"/>
            <w:r w:rsidRPr="00531ACE">
              <w:rPr>
                <w:rFonts w:ascii="Arial" w:hAnsi="Arial" w:cs="Arial"/>
                <w:sz w:val="17"/>
                <w:szCs w:val="17"/>
                <w:lang w:val="es-ES_tradnl"/>
              </w:rPr>
              <w:t xml:space="preserve"> – Fundadores</w:t>
            </w:r>
          </w:p>
        </w:tc>
        <w:tc>
          <w:tcPr>
            <w:tcW w:w="2410" w:type="dxa"/>
          </w:tcPr>
          <w:p w14:paraId="03F5B523" w14:textId="77777777" w:rsidR="005E5911"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Meta, Cundinamarca</w:t>
            </w:r>
          </w:p>
        </w:tc>
        <w:tc>
          <w:tcPr>
            <w:tcW w:w="1134" w:type="dxa"/>
          </w:tcPr>
          <w:p w14:paraId="0432B511" w14:textId="77777777" w:rsidR="005E5911"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Junio</w:t>
            </w:r>
          </w:p>
        </w:tc>
        <w:tc>
          <w:tcPr>
            <w:tcW w:w="1417" w:type="dxa"/>
          </w:tcPr>
          <w:p w14:paraId="28590D3E" w14:textId="77777777" w:rsidR="005E5911"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$3,2 billones</w:t>
            </w:r>
          </w:p>
        </w:tc>
        <w:tc>
          <w:tcPr>
            <w:tcW w:w="1418" w:type="dxa"/>
          </w:tcPr>
          <w:p w14:paraId="7B5DC29C" w14:textId="77777777" w:rsidR="005E5911"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US$854,9 millones</w:t>
            </w:r>
          </w:p>
        </w:tc>
      </w:tr>
      <w:tr w:rsidR="008E0BA1" w:rsidRPr="00531ACE" w14:paraId="1EFD2665" w14:textId="77777777" w:rsidTr="00531ACE">
        <w:tc>
          <w:tcPr>
            <w:tcW w:w="2405" w:type="dxa"/>
          </w:tcPr>
          <w:p w14:paraId="30265901"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Autopista al Mar 2</w:t>
            </w:r>
          </w:p>
        </w:tc>
        <w:tc>
          <w:tcPr>
            <w:tcW w:w="2410" w:type="dxa"/>
          </w:tcPr>
          <w:p w14:paraId="4A313DE6"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Antioquia</w:t>
            </w:r>
          </w:p>
        </w:tc>
        <w:tc>
          <w:tcPr>
            <w:tcW w:w="1134" w:type="dxa"/>
          </w:tcPr>
          <w:p w14:paraId="5E2085C8" w14:textId="77777777" w:rsidR="008E497A" w:rsidRPr="00531ACE" w:rsidRDefault="008E497A" w:rsidP="009362CD">
            <w:pPr>
              <w:spacing w:line="276" w:lineRule="auto"/>
              <w:jc w:val="center"/>
              <w:rPr>
                <w:rFonts w:ascii="Arial" w:hAnsi="Arial" w:cs="Arial"/>
                <w:sz w:val="17"/>
                <w:szCs w:val="17"/>
              </w:rPr>
            </w:pPr>
            <w:r w:rsidRPr="00531ACE">
              <w:rPr>
                <w:rFonts w:ascii="Arial" w:hAnsi="Arial" w:cs="Arial"/>
                <w:sz w:val="17"/>
                <w:szCs w:val="17"/>
                <w:lang w:val="es-ES_tradnl"/>
              </w:rPr>
              <w:t>Junio</w:t>
            </w:r>
          </w:p>
        </w:tc>
        <w:tc>
          <w:tcPr>
            <w:tcW w:w="1417" w:type="dxa"/>
          </w:tcPr>
          <w:p w14:paraId="20B932B5"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$1,9 billones</w:t>
            </w:r>
          </w:p>
        </w:tc>
        <w:tc>
          <w:tcPr>
            <w:tcW w:w="1418" w:type="dxa"/>
          </w:tcPr>
          <w:p w14:paraId="7BDB168D"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USD507,6 millones</w:t>
            </w:r>
          </w:p>
        </w:tc>
      </w:tr>
      <w:tr w:rsidR="008E0BA1" w:rsidRPr="00531ACE" w14:paraId="48D718A9" w14:textId="77777777" w:rsidTr="00531ACE">
        <w:tc>
          <w:tcPr>
            <w:tcW w:w="2405" w:type="dxa"/>
          </w:tcPr>
          <w:p w14:paraId="70B6BE3D"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Autopista Conexión Pacífico 3</w:t>
            </w:r>
          </w:p>
        </w:tc>
        <w:tc>
          <w:tcPr>
            <w:tcW w:w="2410" w:type="dxa"/>
          </w:tcPr>
          <w:p w14:paraId="2DAD2A4A"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Antioquia, Caldas, Risaralda</w:t>
            </w:r>
          </w:p>
        </w:tc>
        <w:tc>
          <w:tcPr>
            <w:tcW w:w="1134" w:type="dxa"/>
          </w:tcPr>
          <w:p w14:paraId="673C23BC" w14:textId="77777777" w:rsidR="008E497A" w:rsidRPr="00531ACE" w:rsidRDefault="008E497A" w:rsidP="009362CD">
            <w:pPr>
              <w:spacing w:line="276" w:lineRule="auto"/>
              <w:jc w:val="center"/>
              <w:rPr>
                <w:rFonts w:ascii="Arial" w:hAnsi="Arial" w:cs="Arial"/>
                <w:sz w:val="17"/>
                <w:szCs w:val="17"/>
              </w:rPr>
            </w:pPr>
            <w:r w:rsidRPr="00531ACE">
              <w:rPr>
                <w:rFonts w:ascii="Arial" w:hAnsi="Arial" w:cs="Arial"/>
                <w:sz w:val="17"/>
                <w:szCs w:val="17"/>
                <w:lang w:val="es-ES_tradnl"/>
              </w:rPr>
              <w:t>Junio</w:t>
            </w:r>
          </w:p>
        </w:tc>
        <w:tc>
          <w:tcPr>
            <w:tcW w:w="1417" w:type="dxa"/>
          </w:tcPr>
          <w:p w14:paraId="0933CEBF"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$2,19 billones</w:t>
            </w:r>
          </w:p>
        </w:tc>
        <w:tc>
          <w:tcPr>
            <w:tcW w:w="1418" w:type="dxa"/>
          </w:tcPr>
          <w:p w14:paraId="238F3AFF"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USD585 millones</w:t>
            </w:r>
          </w:p>
        </w:tc>
      </w:tr>
      <w:tr w:rsidR="008E497A" w:rsidRPr="00531ACE" w14:paraId="4134D255" w14:textId="77777777" w:rsidTr="00531ACE">
        <w:tc>
          <w:tcPr>
            <w:tcW w:w="2405" w:type="dxa"/>
          </w:tcPr>
          <w:p w14:paraId="7ED9E4EE"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Pasto – Rumichaca</w:t>
            </w:r>
          </w:p>
        </w:tc>
        <w:tc>
          <w:tcPr>
            <w:tcW w:w="2410" w:type="dxa"/>
          </w:tcPr>
          <w:p w14:paraId="083080FD"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Nariño</w:t>
            </w:r>
          </w:p>
        </w:tc>
        <w:tc>
          <w:tcPr>
            <w:tcW w:w="1134" w:type="dxa"/>
          </w:tcPr>
          <w:p w14:paraId="47D12D92" w14:textId="77777777" w:rsidR="008E497A" w:rsidRPr="00531ACE" w:rsidRDefault="008E497A" w:rsidP="009362CD">
            <w:pPr>
              <w:spacing w:line="276" w:lineRule="auto"/>
              <w:jc w:val="center"/>
              <w:rPr>
                <w:rFonts w:ascii="Arial" w:hAnsi="Arial" w:cs="Arial"/>
                <w:sz w:val="17"/>
                <w:szCs w:val="17"/>
              </w:rPr>
            </w:pPr>
            <w:r w:rsidRPr="00531ACE">
              <w:rPr>
                <w:rFonts w:ascii="Arial" w:hAnsi="Arial" w:cs="Arial"/>
                <w:sz w:val="17"/>
                <w:szCs w:val="17"/>
                <w:lang w:val="es-ES_tradnl"/>
              </w:rPr>
              <w:t>Junio</w:t>
            </w:r>
          </w:p>
        </w:tc>
        <w:tc>
          <w:tcPr>
            <w:tcW w:w="1417" w:type="dxa"/>
          </w:tcPr>
          <w:p w14:paraId="3ECE14B4"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$2,5 billones</w:t>
            </w:r>
          </w:p>
        </w:tc>
        <w:tc>
          <w:tcPr>
            <w:tcW w:w="1418" w:type="dxa"/>
          </w:tcPr>
          <w:p w14:paraId="02FD0EFE"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USD667,9 millones</w:t>
            </w:r>
          </w:p>
        </w:tc>
      </w:tr>
      <w:tr w:rsidR="008E497A" w:rsidRPr="00531ACE" w14:paraId="758442FC" w14:textId="77777777" w:rsidTr="00531ACE">
        <w:tc>
          <w:tcPr>
            <w:tcW w:w="2405" w:type="dxa"/>
          </w:tcPr>
          <w:p w14:paraId="2275D93B"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IP Antioquia – Bolívar</w:t>
            </w:r>
          </w:p>
        </w:tc>
        <w:tc>
          <w:tcPr>
            <w:tcW w:w="2410" w:type="dxa"/>
          </w:tcPr>
          <w:p w14:paraId="1E1B6874"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Antioquia, Cesar, Córdoba</w:t>
            </w:r>
          </w:p>
        </w:tc>
        <w:tc>
          <w:tcPr>
            <w:tcW w:w="1134" w:type="dxa"/>
          </w:tcPr>
          <w:p w14:paraId="1C82F093" w14:textId="77777777" w:rsidR="008E497A" w:rsidRPr="00531ACE" w:rsidRDefault="008E497A" w:rsidP="009362CD">
            <w:pPr>
              <w:spacing w:line="276" w:lineRule="auto"/>
              <w:jc w:val="center"/>
              <w:rPr>
                <w:rFonts w:ascii="Arial" w:hAnsi="Arial" w:cs="Arial"/>
                <w:sz w:val="17"/>
                <w:szCs w:val="17"/>
              </w:rPr>
            </w:pPr>
            <w:r w:rsidRPr="00531ACE">
              <w:rPr>
                <w:rFonts w:ascii="Arial" w:hAnsi="Arial" w:cs="Arial"/>
                <w:sz w:val="17"/>
                <w:szCs w:val="17"/>
                <w:lang w:val="es-ES_tradnl"/>
              </w:rPr>
              <w:t>Junio</w:t>
            </w:r>
          </w:p>
        </w:tc>
        <w:tc>
          <w:tcPr>
            <w:tcW w:w="1417" w:type="dxa"/>
          </w:tcPr>
          <w:p w14:paraId="66540759"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$1,6 billones</w:t>
            </w:r>
          </w:p>
        </w:tc>
        <w:tc>
          <w:tcPr>
            <w:tcW w:w="1418" w:type="dxa"/>
          </w:tcPr>
          <w:p w14:paraId="40AADA44"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USD427,4 millones</w:t>
            </w:r>
          </w:p>
        </w:tc>
      </w:tr>
      <w:tr w:rsidR="008E497A" w:rsidRPr="00531ACE" w14:paraId="2B6F7F0C" w14:textId="77777777" w:rsidTr="00531ACE">
        <w:tc>
          <w:tcPr>
            <w:tcW w:w="2405" w:type="dxa"/>
          </w:tcPr>
          <w:p w14:paraId="6E0AA70B"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 xml:space="preserve">IP </w:t>
            </w:r>
            <w:proofErr w:type="spellStart"/>
            <w:r w:rsidRPr="00531ACE">
              <w:rPr>
                <w:rFonts w:ascii="Arial" w:hAnsi="Arial" w:cs="Arial"/>
                <w:sz w:val="17"/>
                <w:szCs w:val="17"/>
                <w:lang w:val="es-ES_tradnl"/>
              </w:rPr>
              <w:t>Cambao</w:t>
            </w:r>
            <w:proofErr w:type="spellEnd"/>
            <w:r w:rsidRPr="00531ACE">
              <w:rPr>
                <w:rFonts w:ascii="Arial" w:hAnsi="Arial" w:cs="Arial"/>
                <w:sz w:val="17"/>
                <w:szCs w:val="17"/>
                <w:lang w:val="es-ES_tradnl"/>
              </w:rPr>
              <w:t xml:space="preserve"> – Manizales</w:t>
            </w:r>
          </w:p>
        </w:tc>
        <w:tc>
          <w:tcPr>
            <w:tcW w:w="2410" w:type="dxa"/>
          </w:tcPr>
          <w:p w14:paraId="29B7479C"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Tolima, Caldas</w:t>
            </w:r>
          </w:p>
        </w:tc>
        <w:tc>
          <w:tcPr>
            <w:tcW w:w="1134" w:type="dxa"/>
          </w:tcPr>
          <w:p w14:paraId="7742F3D3" w14:textId="77777777" w:rsidR="008E497A" w:rsidRPr="00531ACE" w:rsidRDefault="008E497A" w:rsidP="009362CD">
            <w:pPr>
              <w:spacing w:line="276" w:lineRule="auto"/>
              <w:jc w:val="center"/>
              <w:rPr>
                <w:rFonts w:ascii="Arial" w:hAnsi="Arial" w:cs="Arial"/>
                <w:sz w:val="17"/>
                <w:szCs w:val="17"/>
              </w:rPr>
            </w:pPr>
            <w:r w:rsidRPr="00531ACE">
              <w:rPr>
                <w:rFonts w:ascii="Arial" w:hAnsi="Arial" w:cs="Arial"/>
                <w:sz w:val="17"/>
                <w:szCs w:val="17"/>
                <w:lang w:val="es-ES_tradnl"/>
              </w:rPr>
              <w:t>Junio</w:t>
            </w:r>
          </w:p>
        </w:tc>
        <w:tc>
          <w:tcPr>
            <w:tcW w:w="1417" w:type="dxa"/>
          </w:tcPr>
          <w:p w14:paraId="5E90E2C8"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$0,55 billones</w:t>
            </w:r>
          </w:p>
        </w:tc>
        <w:tc>
          <w:tcPr>
            <w:tcW w:w="1418" w:type="dxa"/>
          </w:tcPr>
          <w:p w14:paraId="7758F9AE"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USD146,9 millones</w:t>
            </w:r>
          </w:p>
        </w:tc>
      </w:tr>
      <w:tr w:rsidR="008E497A" w:rsidRPr="00531ACE" w14:paraId="5DE88D53" w14:textId="77777777" w:rsidTr="00531ACE">
        <w:tc>
          <w:tcPr>
            <w:tcW w:w="2405" w:type="dxa"/>
          </w:tcPr>
          <w:p w14:paraId="6F69CC7E"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lastRenderedPageBreak/>
              <w:t>Bucaramanga-Barrancabermeja-Yondó</w:t>
            </w:r>
          </w:p>
        </w:tc>
        <w:tc>
          <w:tcPr>
            <w:tcW w:w="2410" w:type="dxa"/>
          </w:tcPr>
          <w:p w14:paraId="48D6F582"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Santander, Antioquia</w:t>
            </w:r>
          </w:p>
        </w:tc>
        <w:tc>
          <w:tcPr>
            <w:tcW w:w="1134" w:type="dxa"/>
          </w:tcPr>
          <w:p w14:paraId="79956041"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Junio</w:t>
            </w:r>
          </w:p>
        </w:tc>
        <w:tc>
          <w:tcPr>
            <w:tcW w:w="1417" w:type="dxa"/>
          </w:tcPr>
          <w:p w14:paraId="729A8A42"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$2,51 billones</w:t>
            </w:r>
          </w:p>
        </w:tc>
        <w:tc>
          <w:tcPr>
            <w:tcW w:w="1418" w:type="dxa"/>
          </w:tcPr>
          <w:p w14:paraId="2DB6EE81"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USD670,5 millones</w:t>
            </w:r>
          </w:p>
        </w:tc>
      </w:tr>
      <w:tr w:rsidR="008E497A" w:rsidRPr="00531ACE" w14:paraId="5D972DA2" w14:textId="77777777" w:rsidTr="00531ACE">
        <w:tc>
          <w:tcPr>
            <w:tcW w:w="2405" w:type="dxa"/>
          </w:tcPr>
          <w:p w14:paraId="3D82876A"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Pamplona – Cúcuta</w:t>
            </w:r>
          </w:p>
        </w:tc>
        <w:tc>
          <w:tcPr>
            <w:tcW w:w="2410" w:type="dxa"/>
          </w:tcPr>
          <w:p w14:paraId="5391B450"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Norte de Santander</w:t>
            </w:r>
          </w:p>
        </w:tc>
        <w:tc>
          <w:tcPr>
            <w:tcW w:w="1134" w:type="dxa"/>
          </w:tcPr>
          <w:p w14:paraId="17BF53DB"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Junio</w:t>
            </w:r>
          </w:p>
        </w:tc>
        <w:tc>
          <w:tcPr>
            <w:tcW w:w="1417" w:type="dxa"/>
          </w:tcPr>
          <w:p w14:paraId="2200B687"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$1,98 billones</w:t>
            </w:r>
          </w:p>
        </w:tc>
        <w:tc>
          <w:tcPr>
            <w:tcW w:w="1418" w:type="dxa"/>
          </w:tcPr>
          <w:p w14:paraId="106714D7"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USD528,9 millones</w:t>
            </w:r>
          </w:p>
        </w:tc>
      </w:tr>
      <w:tr w:rsidR="008E497A" w:rsidRPr="00531ACE" w14:paraId="1A8D39C8" w14:textId="77777777" w:rsidTr="00531ACE">
        <w:tc>
          <w:tcPr>
            <w:tcW w:w="2405" w:type="dxa"/>
          </w:tcPr>
          <w:p w14:paraId="0BBE7C2B"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Pacífico 1</w:t>
            </w:r>
          </w:p>
        </w:tc>
        <w:tc>
          <w:tcPr>
            <w:tcW w:w="2410" w:type="dxa"/>
          </w:tcPr>
          <w:p w14:paraId="25AE28B5"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Antioquia</w:t>
            </w:r>
          </w:p>
        </w:tc>
        <w:tc>
          <w:tcPr>
            <w:tcW w:w="1134" w:type="dxa"/>
          </w:tcPr>
          <w:p w14:paraId="255C6C3E" w14:textId="77777777" w:rsidR="008E497A" w:rsidRPr="00531ACE" w:rsidRDefault="008E497A"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Junio</w:t>
            </w:r>
          </w:p>
        </w:tc>
        <w:tc>
          <w:tcPr>
            <w:tcW w:w="1417" w:type="dxa"/>
          </w:tcPr>
          <w:p w14:paraId="65B13ABF" w14:textId="77777777" w:rsidR="008E497A" w:rsidRPr="00531ACE" w:rsidRDefault="008E497A" w:rsidP="009362CD">
            <w:pPr>
              <w:spacing w:line="276" w:lineRule="auto"/>
              <w:rPr>
                <w:rFonts w:ascii="Arial" w:hAnsi="Arial" w:cs="Arial"/>
                <w:sz w:val="17"/>
                <w:szCs w:val="17"/>
                <w:lang w:val="es-ES_tradnl"/>
              </w:rPr>
            </w:pPr>
            <w:r w:rsidRPr="00531ACE">
              <w:rPr>
                <w:rFonts w:ascii="Arial" w:hAnsi="Arial" w:cs="Arial"/>
                <w:sz w:val="17"/>
                <w:szCs w:val="17"/>
                <w:lang w:val="es-ES_tradnl"/>
              </w:rPr>
              <w:t>$2,7 billones</w:t>
            </w:r>
          </w:p>
        </w:tc>
        <w:tc>
          <w:tcPr>
            <w:tcW w:w="1418" w:type="dxa"/>
          </w:tcPr>
          <w:p w14:paraId="5B27A261" w14:textId="77777777" w:rsidR="008E497A"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USD721,3 millones</w:t>
            </w:r>
          </w:p>
        </w:tc>
      </w:tr>
      <w:tr w:rsidR="008E0BA1" w:rsidRPr="00531ACE" w14:paraId="09113868" w14:textId="77777777" w:rsidTr="00531ACE">
        <w:tc>
          <w:tcPr>
            <w:tcW w:w="2405" w:type="dxa"/>
          </w:tcPr>
          <w:p w14:paraId="36EE7FA1" w14:textId="77777777" w:rsidR="008E0BA1" w:rsidRPr="00531ACE" w:rsidRDefault="008E0BA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Villavicencio  - Yopal</w:t>
            </w:r>
          </w:p>
        </w:tc>
        <w:tc>
          <w:tcPr>
            <w:tcW w:w="2410" w:type="dxa"/>
          </w:tcPr>
          <w:p w14:paraId="76A31262" w14:textId="77777777" w:rsidR="008E0BA1" w:rsidRPr="00531ACE" w:rsidRDefault="008E0BA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Meta, Casanare</w:t>
            </w:r>
          </w:p>
        </w:tc>
        <w:tc>
          <w:tcPr>
            <w:tcW w:w="1134" w:type="dxa"/>
          </w:tcPr>
          <w:p w14:paraId="69054411" w14:textId="77777777" w:rsidR="008E0BA1" w:rsidRPr="00531ACE" w:rsidRDefault="008E0BA1" w:rsidP="009362CD">
            <w:pPr>
              <w:spacing w:line="276" w:lineRule="auto"/>
              <w:jc w:val="center"/>
              <w:rPr>
                <w:rFonts w:ascii="Arial" w:hAnsi="Arial" w:cs="Arial"/>
                <w:sz w:val="17"/>
                <w:szCs w:val="17"/>
                <w:lang w:val="es-ES_tradnl"/>
              </w:rPr>
            </w:pPr>
            <w:r w:rsidRPr="00531ACE">
              <w:rPr>
                <w:rFonts w:ascii="Arial" w:hAnsi="Arial" w:cs="Arial"/>
                <w:sz w:val="17"/>
                <w:szCs w:val="17"/>
                <w:lang w:val="es-ES_tradnl"/>
              </w:rPr>
              <w:t>Julio</w:t>
            </w:r>
          </w:p>
        </w:tc>
        <w:tc>
          <w:tcPr>
            <w:tcW w:w="1417" w:type="dxa"/>
          </w:tcPr>
          <w:p w14:paraId="0A1133CB" w14:textId="77777777" w:rsidR="008E0BA1"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$2,7 billones</w:t>
            </w:r>
          </w:p>
        </w:tc>
        <w:tc>
          <w:tcPr>
            <w:tcW w:w="1418" w:type="dxa"/>
          </w:tcPr>
          <w:p w14:paraId="50FCB0A3" w14:textId="77777777" w:rsidR="008E0BA1" w:rsidRPr="00531ACE" w:rsidRDefault="008E0BA1" w:rsidP="009362CD">
            <w:pPr>
              <w:spacing w:line="276" w:lineRule="auto"/>
              <w:rPr>
                <w:rFonts w:ascii="Arial" w:hAnsi="Arial" w:cs="Arial"/>
                <w:sz w:val="17"/>
                <w:szCs w:val="17"/>
                <w:lang w:val="es-ES_tradnl"/>
              </w:rPr>
            </w:pPr>
            <w:r w:rsidRPr="00531ACE">
              <w:rPr>
                <w:rFonts w:ascii="Arial" w:hAnsi="Arial" w:cs="Arial"/>
                <w:sz w:val="17"/>
                <w:szCs w:val="17"/>
                <w:lang w:val="es-ES_tradnl"/>
              </w:rPr>
              <w:t>USD721,3 millones</w:t>
            </w:r>
          </w:p>
        </w:tc>
      </w:tr>
      <w:tr w:rsidR="008E0BA1" w:rsidRPr="00531ACE" w14:paraId="249AE7A4" w14:textId="77777777" w:rsidTr="00531ACE">
        <w:tc>
          <w:tcPr>
            <w:tcW w:w="5949" w:type="dxa"/>
            <w:gridSpan w:val="3"/>
            <w:shd w:val="clear" w:color="auto" w:fill="2E74B5" w:themeFill="accent1" w:themeFillShade="BF"/>
          </w:tcPr>
          <w:p w14:paraId="74ADA36D" w14:textId="77777777" w:rsidR="008E0BA1" w:rsidRPr="00531ACE" w:rsidRDefault="008E0BA1" w:rsidP="009362CD">
            <w:pPr>
              <w:spacing w:line="276" w:lineRule="auto"/>
              <w:jc w:val="center"/>
              <w:rPr>
                <w:rFonts w:ascii="Arial" w:hAnsi="Arial" w:cs="Arial"/>
                <w:b/>
                <w:bCs/>
                <w:color w:val="FFFFFF" w:themeColor="background1"/>
                <w:sz w:val="17"/>
                <w:szCs w:val="17"/>
                <w:lang w:val="es-ES_tradnl"/>
              </w:rPr>
            </w:pPr>
            <w:r w:rsidRPr="00531ACE">
              <w:rPr>
                <w:rFonts w:ascii="Arial" w:hAnsi="Arial" w:cs="Arial"/>
                <w:b/>
                <w:bCs/>
                <w:color w:val="FFFFFF" w:themeColor="background1"/>
                <w:sz w:val="17"/>
                <w:szCs w:val="17"/>
                <w:lang w:val="es-ES_tradnl"/>
              </w:rPr>
              <w:t>TOTAL</w:t>
            </w:r>
          </w:p>
        </w:tc>
        <w:tc>
          <w:tcPr>
            <w:tcW w:w="1417" w:type="dxa"/>
            <w:shd w:val="clear" w:color="auto" w:fill="2E74B5" w:themeFill="accent1" w:themeFillShade="BF"/>
          </w:tcPr>
          <w:p w14:paraId="44638EE6" w14:textId="77777777" w:rsidR="008E0BA1" w:rsidRPr="00531ACE" w:rsidRDefault="008E0BA1" w:rsidP="009362CD">
            <w:pPr>
              <w:spacing w:line="276" w:lineRule="auto"/>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$26,3 billones</w:t>
            </w:r>
          </w:p>
        </w:tc>
        <w:tc>
          <w:tcPr>
            <w:tcW w:w="1418" w:type="dxa"/>
            <w:shd w:val="clear" w:color="auto" w:fill="2E74B5" w:themeFill="accent1" w:themeFillShade="BF"/>
          </w:tcPr>
          <w:p w14:paraId="3A6DE299" w14:textId="77777777" w:rsidR="008E0BA1" w:rsidRPr="00531ACE" w:rsidRDefault="008E0BA1" w:rsidP="009362CD">
            <w:pPr>
              <w:spacing w:line="276" w:lineRule="auto"/>
              <w:rPr>
                <w:rFonts w:ascii="Arial" w:hAnsi="Arial" w:cs="Arial"/>
                <w:color w:val="FFFFFF" w:themeColor="background1"/>
                <w:sz w:val="17"/>
                <w:szCs w:val="17"/>
                <w:lang w:val="es-ES_tradnl"/>
              </w:rPr>
            </w:pPr>
            <w:r w:rsidRPr="00531ACE">
              <w:rPr>
                <w:rFonts w:ascii="Arial" w:hAnsi="Arial" w:cs="Arial"/>
                <w:color w:val="FFFFFF" w:themeColor="background1"/>
                <w:sz w:val="17"/>
                <w:szCs w:val="17"/>
                <w:lang w:val="es-ES_tradnl"/>
              </w:rPr>
              <w:t>USD7.026 millones</w:t>
            </w:r>
          </w:p>
        </w:tc>
      </w:tr>
    </w:tbl>
    <w:p w14:paraId="65B5532C" w14:textId="77777777" w:rsidR="00B7779A" w:rsidRPr="00531ACE" w:rsidRDefault="001E43C1" w:rsidP="009362CD">
      <w:pPr>
        <w:spacing w:line="276" w:lineRule="auto"/>
        <w:jc w:val="both"/>
        <w:rPr>
          <w:rFonts w:ascii="Arial" w:hAnsi="Arial" w:cs="Arial"/>
          <w:i/>
          <w:iCs/>
          <w:sz w:val="18"/>
          <w:szCs w:val="18"/>
          <w:lang w:val="es-ES_tradnl"/>
        </w:rPr>
      </w:pPr>
      <w:r w:rsidRPr="00531ACE">
        <w:rPr>
          <w:rFonts w:ascii="Arial" w:hAnsi="Arial" w:cs="Arial"/>
          <w:i/>
          <w:iCs/>
          <w:sz w:val="18"/>
          <w:szCs w:val="18"/>
          <w:lang w:val="es-ES_tradnl"/>
        </w:rPr>
        <w:t>Tabla de los proyectos de 4G</w:t>
      </w:r>
      <w:r w:rsidR="00133E9A" w:rsidRPr="00531ACE">
        <w:rPr>
          <w:rFonts w:ascii="Arial" w:hAnsi="Arial" w:cs="Arial"/>
          <w:i/>
          <w:iCs/>
          <w:sz w:val="18"/>
          <w:szCs w:val="18"/>
          <w:lang w:val="es-ES_tradnl"/>
        </w:rPr>
        <w:t xml:space="preserve"> restantes</w:t>
      </w:r>
      <w:r w:rsidRPr="00531ACE">
        <w:rPr>
          <w:rFonts w:ascii="Arial" w:hAnsi="Arial" w:cs="Arial"/>
          <w:i/>
          <w:iCs/>
          <w:sz w:val="18"/>
          <w:szCs w:val="18"/>
          <w:lang w:val="es-ES_tradnl"/>
        </w:rPr>
        <w:t xml:space="preserve"> que se entregarán </w:t>
      </w:r>
      <w:r w:rsidR="00133E9A" w:rsidRPr="00531ACE">
        <w:rPr>
          <w:rFonts w:ascii="Arial" w:hAnsi="Arial" w:cs="Arial"/>
          <w:i/>
          <w:iCs/>
          <w:sz w:val="18"/>
          <w:szCs w:val="18"/>
          <w:lang w:val="es-ES_tradnl"/>
        </w:rPr>
        <w:t>antes del 7 de agosto de 2022</w:t>
      </w:r>
      <w:r w:rsidRPr="00531ACE">
        <w:rPr>
          <w:rFonts w:ascii="Arial" w:hAnsi="Arial" w:cs="Arial"/>
          <w:i/>
          <w:iCs/>
          <w:sz w:val="18"/>
          <w:szCs w:val="18"/>
          <w:lang w:val="es-ES_tradnl"/>
        </w:rPr>
        <w:t>*.</w:t>
      </w:r>
    </w:p>
    <w:p w14:paraId="78449B98" w14:textId="77777777" w:rsidR="00531ACE" w:rsidRDefault="00531ACE" w:rsidP="009362CD">
      <w:pPr>
        <w:spacing w:line="276" w:lineRule="auto"/>
        <w:jc w:val="both"/>
        <w:rPr>
          <w:rFonts w:ascii="Arial" w:hAnsi="Arial" w:cs="Arial"/>
          <w:b/>
          <w:i/>
          <w:u w:val="single"/>
          <w:lang w:val="es-ES_tradnl"/>
        </w:rPr>
      </w:pPr>
    </w:p>
    <w:p w14:paraId="7B120389" w14:textId="602E69AA" w:rsidR="00B7779A" w:rsidRPr="009362CD" w:rsidRDefault="00654900" w:rsidP="009362CD">
      <w:pPr>
        <w:spacing w:line="276" w:lineRule="auto"/>
        <w:jc w:val="both"/>
        <w:rPr>
          <w:rFonts w:ascii="Arial" w:hAnsi="Arial" w:cs="Arial"/>
          <w:lang w:val="es-ES_tradnl"/>
        </w:rPr>
      </w:pPr>
      <w:r>
        <w:rPr>
          <w:rFonts w:ascii="Arial" w:hAnsi="Arial" w:cs="Arial"/>
          <w:b/>
          <w:i/>
          <w:u w:val="single"/>
          <w:lang w:val="es-ES_tradnl"/>
        </w:rPr>
        <w:t>Nuevo plan en proceso de contratación</w:t>
      </w:r>
      <w:r w:rsidR="004E109F">
        <w:rPr>
          <w:rFonts w:ascii="Arial" w:hAnsi="Arial" w:cs="Arial"/>
          <w:b/>
          <w:i/>
          <w:u w:val="single"/>
          <w:lang w:val="es-ES_tradnl"/>
        </w:rPr>
        <w:t xml:space="preserve"> -5G-</w:t>
      </w:r>
    </w:p>
    <w:p w14:paraId="7D1E9F91" w14:textId="143A742D" w:rsidR="00B7779A" w:rsidRPr="009362CD" w:rsidRDefault="00D97076" w:rsidP="009362CD">
      <w:pPr>
        <w:pStyle w:val="ListParagraph"/>
        <w:numPr>
          <w:ilvl w:val="0"/>
          <w:numId w:val="32"/>
        </w:numPr>
        <w:spacing w:line="276" w:lineRule="auto"/>
        <w:jc w:val="both"/>
        <w:rPr>
          <w:rFonts w:ascii="Arial" w:hAnsi="Arial" w:cs="Arial"/>
          <w:lang w:val="es-ES_tradnl"/>
        </w:rPr>
      </w:pPr>
      <w:r>
        <w:rPr>
          <w:rFonts w:ascii="Arial" w:hAnsi="Arial" w:cs="Arial"/>
          <w:lang w:val="es-ES_tradnl"/>
        </w:rPr>
        <w:t>El primer grupo de proyectos</w:t>
      </w:r>
      <w:r w:rsidR="0054785A" w:rsidRPr="009362CD">
        <w:rPr>
          <w:rFonts w:ascii="Arial" w:hAnsi="Arial" w:cs="Arial"/>
          <w:lang w:val="es-ES_tradnl"/>
        </w:rPr>
        <w:t xml:space="preserve"> se compone de 14 proyectos, los cuales tendrán una inversión en </w:t>
      </w:r>
      <w:r>
        <w:rPr>
          <w:rFonts w:ascii="Arial" w:hAnsi="Arial" w:cs="Arial"/>
          <w:lang w:val="es-ES_tradnl"/>
        </w:rPr>
        <w:t>obras</w:t>
      </w:r>
      <w:r w:rsidR="0054785A" w:rsidRPr="009362CD">
        <w:rPr>
          <w:rFonts w:ascii="Arial" w:hAnsi="Arial" w:cs="Arial"/>
          <w:lang w:val="es-ES_tradnl"/>
        </w:rPr>
        <w:t xml:space="preserve"> de </w:t>
      </w:r>
      <w:r w:rsidR="00B0418F" w:rsidRPr="009362CD">
        <w:rPr>
          <w:rFonts w:ascii="Arial" w:hAnsi="Arial" w:cs="Arial"/>
          <w:lang w:val="es-ES_tradnl"/>
        </w:rPr>
        <w:t xml:space="preserve">USD5.903 millones </w:t>
      </w:r>
      <w:r>
        <w:rPr>
          <w:rFonts w:ascii="Arial" w:hAnsi="Arial" w:cs="Arial"/>
          <w:lang w:val="es-ES_tradnl"/>
        </w:rPr>
        <w:t>(</w:t>
      </w:r>
      <w:r w:rsidR="00B0418F" w:rsidRPr="009362CD">
        <w:rPr>
          <w:rFonts w:ascii="Arial" w:hAnsi="Arial" w:cs="Arial"/>
          <w:lang w:val="es-ES_tradnl"/>
        </w:rPr>
        <w:t xml:space="preserve">con </w:t>
      </w:r>
      <w:r>
        <w:rPr>
          <w:rFonts w:ascii="Arial" w:hAnsi="Arial" w:cs="Arial"/>
          <w:lang w:val="es-ES_tradnl"/>
        </w:rPr>
        <w:t>un dólar</w:t>
      </w:r>
      <w:r w:rsidR="00B0418F" w:rsidRPr="009362CD">
        <w:rPr>
          <w:rFonts w:ascii="Arial" w:hAnsi="Arial" w:cs="Arial"/>
          <w:lang w:val="es-ES_tradnl"/>
        </w:rPr>
        <w:t xml:space="preserve"> promedio de 2020 que fue de $3.693</w:t>
      </w:r>
      <w:r>
        <w:rPr>
          <w:rFonts w:ascii="Arial" w:hAnsi="Arial" w:cs="Arial"/>
          <w:lang w:val="es-ES_tradnl"/>
        </w:rPr>
        <w:t xml:space="preserve"> pesos colombianos por dólar</w:t>
      </w:r>
      <w:r w:rsidR="00B0418F" w:rsidRPr="009362CD">
        <w:rPr>
          <w:rFonts w:ascii="Arial" w:hAnsi="Arial" w:cs="Arial"/>
          <w:lang w:val="es-ES_tradnl"/>
        </w:rPr>
        <w:t>)</w:t>
      </w:r>
      <w:r w:rsidR="0054785A" w:rsidRPr="009362CD">
        <w:rPr>
          <w:rFonts w:ascii="Arial" w:hAnsi="Arial" w:cs="Arial"/>
          <w:lang w:val="es-ES_tradnl"/>
        </w:rPr>
        <w:t xml:space="preserve">. Se estima que con este programa se generarán más de 600.000 empleos entre directos, indirectos e inducidos. </w:t>
      </w:r>
      <w:r>
        <w:rPr>
          <w:rFonts w:ascii="Arial" w:hAnsi="Arial" w:cs="Arial"/>
          <w:lang w:val="es-ES_tradnl"/>
        </w:rPr>
        <w:t xml:space="preserve">El primer </w:t>
      </w:r>
      <w:r w:rsidR="0054785A" w:rsidRPr="009362CD">
        <w:rPr>
          <w:rFonts w:ascii="Arial" w:hAnsi="Arial" w:cs="Arial"/>
          <w:lang w:val="es-ES_tradnl"/>
        </w:rPr>
        <w:t xml:space="preserve"> </w:t>
      </w:r>
      <w:r>
        <w:rPr>
          <w:rFonts w:ascii="Arial" w:hAnsi="Arial" w:cs="Arial"/>
          <w:lang w:val="es-ES_tradnl"/>
        </w:rPr>
        <w:t xml:space="preserve">grupo de iniciativas </w:t>
      </w:r>
      <w:r w:rsidR="0054785A" w:rsidRPr="009362CD">
        <w:rPr>
          <w:rFonts w:ascii="Arial" w:hAnsi="Arial" w:cs="Arial"/>
          <w:lang w:val="es-ES_tradnl"/>
        </w:rPr>
        <w:t>contempla siete proyectos carreteros, cuatro aeroportuarios, dos fluviales y uno férreo.</w:t>
      </w:r>
    </w:p>
    <w:p w14:paraId="29877B87" w14:textId="77777777" w:rsidR="00D97076" w:rsidRDefault="0054785A" w:rsidP="009362CD">
      <w:pPr>
        <w:pStyle w:val="ListParagraph"/>
        <w:numPr>
          <w:ilvl w:val="0"/>
          <w:numId w:val="32"/>
        </w:numPr>
        <w:spacing w:line="276" w:lineRule="auto"/>
        <w:jc w:val="both"/>
        <w:rPr>
          <w:rFonts w:ascii="Arial" w:hAnsi="Arial" w:cs="Arial"/>
          <w:lang w:val="es-ES_tradnl"/>
        </w:rPr>
      </w:pPr>
      <w:r w:rsidRPr="009362CD">
        <w:rPr>
          <w:rFonts w:ascii="Arial" w:hAnsi="Arial" w:cs="Arial"/>
          <w:lang w:val="es-ES_tradnl"/>
        </w:rPr>
        <w:t xml:space="preserve">El primer proyecto adjudicado de </w:t>
      </w:r>
      <w:r w:rsidR="00D97076">
        <w:rPr>
          <w:rFonts w:ascii="Arial" w:hAnsi="Arial" w:cs="Arial"/>
          <w:lang w:val="es-ES_tradnl"/>
        </w:rPr>
        <w:t xml:space="preserve">esta </w:t>
      </w:r>
      <w:r w:rsidRPr="009362CD">
        <w:rPr>
          <w:rFonts w:ascii="Arial" w:hAnsi="Arial" w:cs="Arial"/>
          <w:lang w:val="es-ES_tradnl"/>
        </w:rPr>
        <w:t xml:space="preserve">nueva generación de concesiones fue </w:t>
      </w:r>
      <w:r w:rsidR="00D97076">
        <w:rPr>
          <w:rFonts w:ascii="Arial" w:hAnsi="Arial" w:cs="Arial"/>
          <w:lang w:val="es-ES_tradnl"/>
        </w:rPr>
        <w:t xml:space="preserve">la </w:t>
      </w:r>
      <w:r w:rsidRPr="009362CD">
        <w:rPr>
          <w:rFonts w:ascii="Arial" w:hAnsi="Arial" w:cs="Arial"/>
          <w:lang w:val="es-ES_tradnl"/>
        </w:rPr>
        <w:t>Malla Vial del Valle del Cauca: Accesos Cali – Palmira</w:t>
      </w:r>
      <w:r w:rsidR="00D97076">
        <w:rPr>
          <w:rFonts w:ascii="Arial" w:hAnsi="Arial" w:cs="Arial"/>
          <w:lang w:val="es-ES_tradnl"/>
        </w:rPr>
        <w:t xml:space="preserve"> (suroccidente de país)</w:t>
      </w:r>
      <w:r w:rsidR="00CC36E0" w:rsidRPr="009362CD">
        <w:rPr>
          <w:rFonts w:ascii="Arial" w:hAnsi="Arial" w:cs="Arial"/>
          <w:lang w:val="es-ES_tradnl"/>
        </w:rPr>
        <w:t>,</w:t>
      </w:r>
      <w:r w:rsidRPr="009362CD">
        <w:rPr>
          <w:rFonts w:ascii="Arial" w:hAnsi="Arial" w:cs="Arial"/>
          <w:lang w:val="es-ES_tradnl"/>
        </w:rPr>
        <w:t xml:space="preserve"> en mayo 2021</w:t>
      </w:r>
      <w:r w:rsidR="00B7779A" w:rsidRPr="009362CD">
        <w:rPr>
          <w:rFonts w:ascii="Arial" w:hAnsi="Arial" w:cs="Arial"/>
          <w:lang w:val="es-ES_tradnl"/>
        </w:rPr>
        <w:t xml:space="preserve"> </w:t>
      </w:r>
      <w:r w:rsidR="00D97076">
        <w:rPr>
          <w:rFonts w:ascii="Arial" w:hAnsi="Arial" w:cs="Arial"/>
          <w:lang w:val="es-ES_tradnl"/>
        </w:rPr>
        <w:t>(</w:t>
      </w:r>
      <w:r w:rsidR="00251A2F" w:rsidRPr="009362CD">
        <w:rPr>
          <w:rFonts w:ascii="Arial" w:hAnsi="Arial" w:cs="Arial"/>
          <w:lang w:val="es-ES_tradnl"/>
        </w:rPr>
        <w:t>USD324,9 millones</w:t>
      </w:r>
      <w:r w:rsidR="00B7779A" w:rsidRPr="009362CD">
        <w:rPr>
          <w:rFonts w:ascii="Arial" w:hAnsi="Arial" w:cs="Arial"/>
          <w:lang w:val="es-ES_tradnl"/>
        </w:rPr>
        <w:t>)</w:t>
      </w:r>
      <w:r w:rsidRPr="009362CD">
        <w:rPr>
          <w:rFonts w:ascii="Arial" w:hAnsi="Arial" w:cs="Arial"/>
          <w:lang w:val="es-ES_tradnl"/>
        </w:rPr>
        <w:t>;  el 13 de diciembre de 2021 fue adjudicado el segundo proyecto: la IP ALO SUR</w:t>
      </w:r>
      <w:r w:rsidR="00251A2F" w:rsidRPr="009362CD">
        <w:rPr>
          <w:rFonts w:ascii="Arial" w:hAnsi="Arial" w:cs="Arial"/>
          <w:lang w:val="es-ES_tradnl"/>
        </w:rPr>
        <w:t xml:space="preserve"> </w:t>
      </w:r>
      <w:r w:rsidR="00D97076">
        <w:rPr>
          <w:rFonts w:ascii="Arial" w:hAnsi="Arial" w:cs="Arial"/>
          <w:lang w:val="es-ES_tradnl"/>
        </w:rPr>
        <w:t>(cerca de Bogotá</w:t>
      </w:r>
      <w:r w:rsidR="00251A2F" w:rsidRPr="009362CD">
        <w:rPr>
          <w:rFonts w:ascii="Arial" w:hAnsi="Arial" w:cs="Arial"/>
          <w:lang w:val="es-ES_tradnl"/>
        </w:rPr>
        <w:t xml:space="preserve"> USD189,5 millones),</w:t>
      </w:r>
      <w:r w:rsidRPr="009362CD">
        <w:rPr>
          <w:rFonts w:ascii="Arial" w:hAnsi="Arial" w:cs="Arial"/>
          <w:lang w:val="es-ES_tradnl"/>
        </w:rPr>
        <w:t xml:space="preserve"> y el 10 de marzo de 2022 fue adjudicado Accesos Norte 2</w:t>
      </w:r>
      <w:r w:rsidR="00251A2F" w:rsidRPr="009362CD">
        <w:rPr>
          <w:rFonts w:ascii="Arial" w:hAnsi="Arial" w:cs="Arial"/>
          <w:lang w:val="es-ES_tradnl"/>
        </w:rPr>
        <w:t xml:space="preserve"> </w:t>
      </w:r>
      <w:r w:rsidR="00D97076">
        <w:rPr>
          <w:rFonts w:ascii="Arial" w:hAnsi="Arial" w:cs="Arial"/>
          <w:lang w:val="es-ES_tradnl"/>
        </w:rPr>
        <w:t>(cerca de Bogotá -</w:t>
      </w:r>
      <w:r w:rsidR="00251A2F" w:rsidRPr="009362CD">
        <w:rPr>
          <w:rFonts w:ascii="Arial" w:hAnsi="Arial" w:cs="Arial"/>
          <w:lang w:val="es-ES_tradnl"/>
        </w:rPr>
        <w:t xml:space="preserve"> USD357,4 millones)</w:t>
      </w:r>
      <w:r w:rsidRPr="009362CD">
        <w:rPr>
          <w:rFonts w:ascii="Arial" w:hAnsi="Arial" w:cs="Arial"/>
          <w:lang w:val="es-ES_tradnl"/>
        </w:rPr>
        <w:t xml:space="preserve">. </w:t>
      </w:r>
    </w:p>
    <w:p w14:paraId="1ADC872C" w14:textId="45370853" w:rsidR="0054785A" w:rsidRPr="009362CD" w:rsidRDefault="0054785A" w:rsidP="009362CD">
      <w:pPr>
        <w:pStyle w:val="ListParagraph"/>
        <w:numPr>
          <w:ilvl w:val="0"/>
          <w:numId w:val="32"/>
        </w:numPr>
        <w:spacing w:line="276" w:lineRule="auto"/>
        <w:jc w:val="both"/>
        <w:rPr>
          <w:rFonts w:ascii="Arial" w:hAnsi="Arial" w:cs="Arial"/>
          <w:lang w:val="es-ES_tradnl"/>
        </w:rPr>
      </w:pPr>
      <w:r w:rsidRPr="009362CD">
        <w:rPr>
          <w:rFonts w:ascii="Arial" w:hAnsi="Arial" w:cs="Arial"/>
          <w:lang w:val="es-ES_tradnl"/>
        </w:rPr>
        <w:t xml:space="preserve">Además, se encuentran con en proceso de licitación los proyectos APP del </w:t>
      </w:r>
      <w:r w:rsidR="00CC36E0" w:rsidRPr="009362CD">
        <w:rPr>
          <w:rFonts w:ascii="Arial" w:hAnsi="Arial" w:cs="Arial"/>
          <w:lang w:val="es-ES_tradnl"/>
        </w:rPr>
        <w:t>r</w:t>
      </w:r>
      <w:r w:rsidRPr="009362CD">
        <w:rPr>
          <w:rFonts w:ascii="Arial" w:hAnsi="Arial" w:cs="Arial"/>
          <w:lang w:val="es-ES_tradnl"/>
        </w:rPr>
        <w:t>ío Magdalena, Canal del Dique, Buga</w:t>
      </w:r>
      <w:r w:rsidR="00D97076">
        <w:rPr>
          <w:rFonts w:ascii="Arial" w:hAnsi="Arial" w:cs="Arial"/>
          <w:lang w:val="es-ES_tradnl"/>
        </w:rPr>
        <w:t>-</w:t>
      </w:r>
      <w:r w:rsidRPr="009362CD">
        <w:rPr>
          <w:rFonts w:ascii="Arial" w:hAnsi="Arial" w:cs="Arial"/>
          <w:lang w:val="es-ES_tradnl"/>
        </w:rPr>
        <w:t xml:space="preserve"> Buenaventura, y Troncal del Magdalena 1 y 2, los cuales estarán adjudicados antes de agosto de 2022.  Del mismo modo, se espera que en el transcurso de 2022 inicien los procesos de selección de los proyectos: IP Aeropuertos de Suroccidente, IP Aeropuerto de San Andrés, IP Aeropuerto de Cartagena, IP Nuevo Aeropuerto de Cartagena, Corredor Férreo Dorada Chiriguaná, y la IP Santuario </w:t>
      </w:r>
      <w:proofErr w:type="spellStart"/>
      <w:r w:rsidRPr="009362CD">
        <w:rPr>
          <w:rFonts w:ascii="Arial" w:hAnsi="Arial" w:cs="Arial"/>
          <w:lang w:val="es-ES_tradnl"/>
        </w:rPr>
        <w:t>Cañoalegre</w:t>
      </w:r>
      <w:proofErr w:type="spellEnd"/>
      <w:r w:rsidRPr="009362CD">
        <w:rPr>
          <w:rFonts w:ascii="Arial" w:hAnsi="Arial" w:cs="Arial"/>
          <w:lang w:val="es-ES_tradnl"/>
        </w:rPr>
        <w:t>.</w:t>
      </w:r>
    </w:p>
    <w:p w14:paraId="193A6274" w14:textId="77777777" w:rsidR="00133E9A" w:rsidRPr="009362CD" w:rsidRDefault="00133E9A" w:rsidP="009362CD">
      <w:pPr>
        <w:pStyle w:val="ListParagraph"/>
        <w:spacing w:line="276" w:lineRule="auto"/>
        <w:ind w:left="567"/>
        <w:jc w:val="both"/>
        <w:rPr>
          <w:rFonts w:ascii="Arial" w:hAnsi="Arial" w:cs="Arial"/>
          <w:lang w:val="es-ES_tradnl"/>
        </w:rPr>
      </w:pPr>
    </w:p>
    <w:tbl>
      <w:tblPr>
        <w:tblStyle w:val="TableGrid"/>
        <w:tblW w:w="8359" w:type="dxa"/>
        <w:tblInd w:w="567" w:type="dxa"/>
        <w:tblLook w:val="04A0" w:firstRow="1" w:lastRow="0" w:firstColumn="1" w:lastColumn="0" w:noHBand="0" w:noVBand="1"/>
      </w:tblPr>
      <w:tblGrid>
        <w:gridCol w:w="2689"/>
        <w:gridCol w:w="2268"/>
        <w:gridCol w:w="1559"/>
        <w:gridCol w:w="1745"/>
        <w:gridCol w:w="98"/>
      </w:tblGrid>
      <w:tr w:rsidR="00133E9A" w:rsidRPr="009362CD" w14:paraId="7283BC07" w14:textId="77777777" w:rsidTr="007374F0">
        <w:trPr>
          <w:trHeight w:val="434"/>
        </w:trPr>
        <w:tc>
          <w:tcPr>
            <w:tcW w:w="8359" w:type="dxa"/>
            <w:gridSpan w:val="5"/>
            <w:shd w:val="clear" w:color="auto" w:fill="2E74B5" w:themeFill="accent1" w:themeFillShade="BF"/>
          </w:tcPr>
          <w:p w14:paraId="6FDFA9D8" w14:textId="77777777" w:rsidR="00133E9A" w:rsidRPr="009362CD" w:rsidRDefault="00133E9A" w:rsidP="009362CD">
            <w:pPr>
              <w:pStyle w:val="ListParagraph"/>
              <w:spacing w:line="276" w:lineRule="auto"/>
              <w:ind w:left="0"/>
              <w:jc w:val="center"/>
              <w:rPr>
                <w:rFonts w:ascii="Arial" w:hAnsi="Arial" w:cs="Arial"/>
                <w:color w:val="FFFFFF" w:themeColor="background1"/>
                <w:sz w:val="18"/>
                <w:szCs w:val="18"/>
                <w:lang w:val="es-ES_tradnl"/>
              </w:rPr>
            </w:pPr>
            <w:r w:rsidRPr="009362CD">
              <w:rPr>
                <w:rFonts w:ascii="Arial" w:hAnsi="Arial" w:cs="Arial"/>
                <w:color w:val="FFFFFF" w:themeColor="background1"/>
                <w:sz w:val="18"/>
                <w:szCs w:val="18"/>
                <w:lang w:val="es-ES_tradnl"/>
              </w:rPr>
              <w:t>PROYECTOS DE LAS CONCESIONES DEL BICENTENARIO POR ADJUDICAR</w:t>
            </w:r>
          </w:p>
        </w:tc>
      </w:tr>
      <w:tr w:rsidR="00133E9A" w:rsidRPr="009362CD" w14:paraId="0120EA6F" w14:textId="77777777" w:rsidTr="007374F0">
        <w:trPr>
          <w:gridAfter w:val="1"/>
          <w:wAfter w:w="98" w:type="dxa"/>
        </w:trPr>
        <w:tc>
          <w:tcPr>
            <w:tcW w:w="2689" w:type="dxa"/>
            <w:shd w:val="clear" w:color="auto" w:fill="2E74B5" w:themeFill="accent1" w:themeFillShade="BF"/>
          </w:tcPr>
          <w:p w14:paraId="42D13C6C" w14:textId="77777777" w:rsidR="00133E9A" w:rsidRPr="009362CD" w:rsidRDefault="00133E9A" w:rsidP="009362CD">
            <w:pPr>
              <w:pStyle w:val="ListParagraph"/>
              <w:spacing w:line="276" w:lineRule="auto"/>
              <w:ind w:left="0"/>
              <w:jc w:val="center"/>
              <w:rPr>
                <w:rFonts w:ascii="Arial" w:hAnsi="Arial" w:cs="Arial"/>
                <w:color w:val="FFFFFF" w:themeColor="background1"/>
                <w:sz w:val="18"/>
                <w:szCs w:val="18"/>
                <w:lang w:val="es-ES_tradnl"/>
              </w:rPr>
            </w:pPr>
            <w:r w:rsidRPr="009362CD">
              <w:rPr>
                <w:rFonts w:ascii="Arial" w:hAnsi="Arial" w:cs="Arial"/>
                <w:color w:val="FFFFFF" w:themeColor="background1"/>
                <w:sz w:val="18"/>
                <w:szCs w:val="18"/>
                <w:lang w:val="es-ES_tradnl"/>
              </w:rPr>
              <w:t>PROYECTO</w:t>
            </w:r>
          </w:p>
        </w:tc>
        <w:tc>
          <w:tcPr>
            <w:tcW w:w="2268" w:type="dxa"/>
            <w:shd w:val="clear" w:color="auto" w:fill="2E74B5" w:themeFill="accent1" w:themeFillShade="BF"/>
          </w:tcPr>
          <w:p w14:paraId="7007DA04" w14:textId="77777777" w:rsidR="00133E9A" w:rsidRPr="009362CD" w:rsidRDefault="00133E9A" w:rsidP="009362CD">
            <w:pPr>
              <w:pStyle w:val="ListParagraph"/>
              <w:spacing w:line="276" w:lineRule="auto"/>
              <w:ind w:left="0"/>
              <w:jc w:val="center"/>
              <w:rPr>
                <w:rFonts w:ascii="Arial" w:hAnsi="Arial" w:cs="Arial"/>
                <w:color w:val="FFFFFF" w:themeColor="background1"/>
                <w:sz w:val="18"/>
                <w:szCs w:val="18"/>
                <w:lang w:val="es-ES_tradnl"/>
              </w:rPr>
            </w:pPr>
            <w:r w:rsidRPr="009362CD">
              <w:rPr>
                <w:rFonts w:ascii="Arial" w:hAnsi="Arial" w:cs="Arial"/>
                <w:color w:val="FFFFFF" w:themeColor="background1"/>
                <w:sz w:val="18"/>
                <w:szCs w:val="18"/>
                <w:lang w:val="es-ES_tradnl"/>
              </w:rPr>
              <w:t>ESTADO</w:t>
            </w:r>
          </w:p>
        </w:tc>
        <w:tc>
          <w:tcPr>
            <w:tcW w:w="1559" w:type="dxa"/>
            <w:shd w:val="clear" w:color="auto" w:fill="2E74B5" w:themeFill="accent1" w:themeFillShade="BF"/>
          </w:tcPr>
          <w:p w14:paraId="7843C309" w14:textId="77777777" w:rsidR="00133E9A" w:rsidRPr="009362CD" w:rsidRDefault="00133E9A" w:rsidP="009362CD">
            <w:pPr>
              <w:pStyle w:val="ListParagraph"/>
              <w:spacing w:line="276" w:lineRule="auto"/>
              <w:ind w:left="0"/>
              <w:jc w:val="center"/>
              <w:rPr>
                <w:rFonts w:ascii="Arial" w:hAnsi="Arial" w:cs="Arial"/>
                <w:color w:val="FFFFFF" w:themeColor="background1"/>
                <w:sz w:val="18"/>
                <w:szCs w:val="18"/>
                <w:lang w:val="es-ES_tradnl"/>
              </w:rPr>
            </w:pPr>
            <w:r w:rsidRPr="009362CD">
              <w:rPr>
                <w:rFonts w:ascii="Arial" w:hAnsi="Arial" w:cs="Arial"/>
                <w:color w:val="FFFFFF" w:themeColor="background1"/>
                <w:sz w:val="18"/>
                <w:szCs w:val="18"/>
                <w:lang w:val="es-ES_tradnl"/>
              </w:rPr>
              <w:t>INVERSIÓN COP</w:t>
            </w:r>
          </w:p>
        </w:tc>
        <w:tc>
          <w:tcPr>
            <w:tcW w:w="1745" w:type="dxa"/>
            <w:shd w:val="clear" w:color="auto" w:fill="2E74B5" w:themeFill="accent1" w:themeFillShade="BF"/>
          </w:tcPr>
          <w:p w14:paraId="5A9E2C93" w14:textId="77777777" w:rsidR="00133E9A" w:rsidRPr="009362CD" w:rsidRDefault="00133E9A" w:rsidP="009362CD">
            <w:pPr>
              <w:pStyle w:val="ListParagraph"/>
              <w:spacing w:line="276" w:lineRule="auto"/>
              <w:ind w:left="0"/>
              <w:jc w:val="center"/>
              <w:rPr>
                <w:rFonts w:ascii="Arial" w:hAnsi="Arial" w:cs="Arial"/>
                <w:color w:val="FFFFFF" w:themeColor="background1"/>
                <w:sz w:val="18"/>
                <w:szCs w:val="18"/>
                <w:lang w:val="es-ES_tradnl"/>
              </w:rPr>
            </w:pPr>
            <w:r w:rsidRPr="009362CD">
              <w:rPr>
                <w:rFonts w:ascii="Arial" w:hAnsi="Arial" w:cs="Arial"/>
                <w:color w:val="FFFFFF" w:themeColor="background1"/>
                <w:sz w:val="18"/>
                <w:szCs w:val="18"/>
                <w:lang w:val="es-ES_tradnl"/>
              </w:rPr>
              <w:t>INVERSIÓN USD</w:t>
            </w:r>
            <w:r w:rsidR="00B7779A" w:rsidRPr="009362CD">
              <w:rPr>
                <w:rFonts w:ascii="Arial" w:hAnsi="Arial" w:cs="Arial"/>
                <w:color w:val="FFFFFF" w:themeColor="background1"/>
                <w:sz w:val="18"/>
                <w:szCs w:val="18"/>
                <w:lang w:val="es-ES_tradnl"/>
              </w:rPr>
              <w:t xml:space="preserve"> (TRM $3.693)</w:t>
            </w:r>
          </w:p>
        </w:tc>
      </w:tr>
      <w:tr w:rsidR="00133E9A" w:rsidRPr="009362CD" w14:paraId="57C99835" w14:textId="77777777" w:rsidTr="007374F0">
        <w:trPr>
          <w:gridAfter w:val="1"/>
          <w:wAfter w:w="98" w:type="dxa"/>
        </w:trPr>
        <w:tc>
          <w:tcPr>
            <w:tcW w:w="2689" w:type="dxa"/>
          </w:tcPr>
          <w:p w14:paraId="66CE4E6F"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Buga – Buenaventura</w:t>
            </w:r>
          </w:p>
        </w:tc>
        <w:tc>
          <w:tcPr>
            <w:tcW w:w="2268" w:type="dxa"/>
          </w:tcPr>
          <w:p w14:paraId="13A3D550"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licitación (adjudicación en julio)</w:t>
            </w:r>
          </w:p>
        </w:tc>
        <w:tc>
          <w:tcPr>
            <w:tcW w:w="1559" w:type="dxa"/>
          </w:tcPr>
          <w:p w14:paraId="0F3B2CF7"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$2,2 billones</w:t>
            </w:r>
          </w:p>
        </w:tc>
        <w:tc>
          <w:tcPr>
            <w:tcW w:w="1745" w:type="dxa"/>
          </w:tcPr>
          <w:p w14:paraId="6C38BD78"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USD595,7 millones</w:t>
            </w:r>
          </w:p>
        </w:tc>
      </w:tr>
      <w:tr w:rsidR="00133E9A" w:rsidRPr="009362CD" w14:paraId="66C918BB" w14:textId="77777777" w:rsidTr="007374F0">
        <w:trPr>
          <w:gridAfter w:val="1"/>
          <w:wAfter w:w="98" w:type="dxa"/>
        </w:trPr>
        <w:tc>
          <w:tcPr>
            <w:tcW w:w="2689" w:type="dxa"/>
          </w:tcPr>
          <w:p w14:paraId="6BE10D95"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Troncal Magdalena 1</w:t>
            </w:r>
          </w:p>
        </w:tc>
        <w:tc>
          <w:tcPr>
            <w:tcW w:w="2268" w:type="dxa"/>
          </w:tcPr>
          <w:p w14:paraId="33D2EF49"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licitación</w:t>
            </w:r>
          </w:p>
        </w:tc>
        <w:tc>
          <w:tcPr>
            <w:tcW w:w="1559" w:type="dxa"/>
          </w:tcPr>
          <w:p w14:paraId="3E329B90"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$2,07 billones</w:t>
            </w:r>
          </w:p>
        </w:tc>
        <w:tc>
          <w:tcPr>
            <w:tcW w:w="1745" w:type="dxa"/>
          </w:tcPr>
          <w:p w14:paraId="3686A733"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USD560,5 millones</w:t>
            </w:r>
          </w:p>
        </w:tc>
      </w:tr>
      <w:tr w:rsidR="00133E9A" w:rsidRPr="009362CD" w14:paraId="732E43CC" w14:textId="77777777" w:rsidTr="007374F0">
        <w:trPr>
          <w:gridAfter w:val="1"/>
          <w:wAfter w:w="98" w:type="dxa"/>
        </w:trPr>
        <w:tc>
          <w:tcPr>
            <w:tcW w:w="2689" w:type="dxa"/>
          </w:tcPr>
          <w:p w14:paraId="4BC6A988"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Troncal Magdalena 2</w:t>
            </w:r>
          </w:p>
        </w:tc>
        <w:tc>
          <w:tcPr>
            <w:tcW w:w="2268" w:type="dxa"/>
          </w:tcPr>
          <w:p w14:paraId="1F6299F4"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licitación (adjudicación en mayo)</w:t>
            </w:r>
          </w:p>
        </w:tc>
        <w:tc>
          <w:tcPr>
            <w:tcW w:w="1559" w:type="dxa"/>
          </w:tcPr>
          <w:p w14:paraId="24B8ED6D"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$1,7 billones</w:t>
            </w:r>
          </w:p>
        </w:tc>
        <w:tc>
          <w:tcPr>
            <w:tcW w:w="1745" w:type="dxa"/>
          </w:tcPr>
          <w:p w14:paraId="65792285"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US$460,3 millones</w:t>
            </w:r>
          </w:p>
        </w:tc>
      </w:tr>
      <w:tr w:rsidR="00133E9A" w:rsidRPr="009362CD" w14:paraId="3DFEA8D8" w14:textId="77777777" w:rsidTr="007374F0">
        <w:trPr>
          <w:gridAfter w:val="1"/>
          <w:wAfter w:w="98" w:type="dxa"/>
        </w:trPr>
        <w:tc>
          <w:tcPr>
            <w:tcW w:w="2689" w:type="dxa"/>
          </w:tcPr>
          <w:p w14:paraId="50EBD023"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APP del río Magdalena</w:t>
            </w:r>
          </w:p>
        </w:tc>
        <w:tc>
          <w:tcPr>
            <w:tcW w:w="2268" w:type="dxa"/>
          </w:tcPr>
          <w:p w14:paraId="019C9F44"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licitación</w:t>
            </w:r>
          </w:p>
        </w:tc>
        <w:tc>
          <w:tcPr>
            <w:tcW w:w="1559" w:type="dxa"/>
          </w:tcPr>
          <w:p w14:paraId="7096B14B"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$0,45 billones</w:t>
            </w:r>
          </w:p>
        </w:tc>
        <w:tc>
          <w:tcPr>
            <w:tcW w:w="1745" w:type="dxa"/>
          </w:tcPr>
          <w:p w14:paraId="601C6FEC"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USD121,8 millones</w:t>
            </w:r>
          </w:p>
        </w:tc>
      </w:tr>
      <w:tr w:rsidR="00133E9A" w:rsidRPr="009362CD" w14:paraId="6258332F" w14:textId="77777777" w:rsidTr="007374F0">
        <w:trPr>
          <w:gridAfter w:val="1"/>
          <w:wAfter w:w="98" w:type="dxa"/>
        </w:trPr>
        <w:tc>
          <w:tcPr>
            <w:tcW w:w="2689" w:type="dxa"/>
          </w:tcPr>
          <w:p w14:paraId="6DA046D3"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Canal del Dique</w:t>
            </w:r>
          </w:p>
        </w:tc>
        <w:tc>
          <w:tcPr>
            <w:tcW w:w="2268" w:type="dxa"/>
          </w:tcPr>
          <w:p w14:paraId="38C9FD1F"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licitación (adjudicación en julio)</w:t>
            </w:r>
          </w:p>
        </w:tc>
        <w:tc>
          <w:tcPr>
            <w:tcW w:w="1559" w:type="dxa"/>
          </w:tcPr>
          <w:p w14:paraId="38005A77"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$2,34 billones</w:t>
            </w:r>
          </w:p>
        </w:tc>
        <w:tc>
          <w:tcPr>
            <w:tcW w:w="1745" w:type="dxa"/>
          </w:tcPr>
          <w:p w14:paraId="009B56A9"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USD633,3 millones</w:t>
            </w:r>
          </w:p>
        </w:tc>
      </w:tr>
      <w:tr w:rsidR="00133E9A" w:rsidRPr="009362CD" w14:paraId="411C9057" w14:textId="77777777" w:rsidTr="007374F0">
        <w:trPr>
          <w:gridAfter w:val="1"/>
          <w:wAfter w:w="98" w:type="dxa"/>
        </w:trPr>
        <w:tc>
          <w:tcPr>
            <w:tcW w:w="2689" w:type="dxa"/>
          </w:tcPr>
          <w:p w14:paraId="6CB08F34"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lastRenderedPageBreak/>
              <w:t>IP Aeropuerto de Cartagena</w:t>
            </w:r>
          </w:p>
        </w:tc>
        <w:tc>
          <w:tcPr>
            <w:tcW w:w="2268" w:type="dxa"/>
          </w:tcPr>
          <w:p w14:paraId="4C72B03B"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estructuración y aprobaciones de las entidades (MHCP y DNP)</w:t>
            </w:r>
          </w:p>
        </w:tc>
        <w:tc>
          <w:tcPr>
            <w:tcW w:w="1559" w:type="dxa"/>
          </w:tcPr>
          <w:p w14:paraId="66DFA877"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$0,44 billones</w:t>
            </w:r>
          </w:p>
        </w:tc>
        <w:tc>
          <w:tcPr>
            <w:tcW w:w="1745" w:type="dxa"/>
          </w:tcPr>
          <w:p w14:paraId="2D4EBFB0"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USD119,1 millones</w:t>
            </w:r>
          </w:p>
        </w:tc>
      </w:tr>
      <w:tr w:rsidR="00133E9A" w:rsidRPr="009362CD" w14:paraId="3A372487" w14:textId="77777777" w:rsidTr="007374F0">
        <w:trPr>
          <w:gridAfter w:val="1"/>
          <w:wAfter w:w="98" w:type="dxa"/>
        </w:trPr>
        <w:tc>
          <w:tcPr>
            <w:tcW w:w="2689" w:type="dxa"/>
          </w:tcPr>
          <w:p w14:paraId="7FDA256E"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IP Aeropuerto de Bayunca</w:t>
            </w:r>
          </w:p>
        </w:tc>
        <w:tc>
          <w:tcPr>
            <w:tcW w:w="2268" w:type="dxa"/>
          </w:tcPr>
          <w:p w14:paraId="6EDAE644"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estructuración</w:t>
            </w:r>
          </w:p>
        </w:tc>
        <w:tc>
          <w:tcPr>
            <w:tcW w:w="1559" w:type="dxa"/>
          </w:tcPr>
          <w:p w14:paraId="5EC0C1E7"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$2,83 billones</w:t>
            </w:r>
          </w:p>
        </w:tc>
        <w:tc>
          <w:tcPr>
            <w:tcW w:w="1745" w:type="dxa"/>
          </w:tcPr>
          <w:p w14:paraId="23DB96DB" w14:textId="77777777" w:rsidR="00133E9A" w:rsidRPr="009362CD" w:rsidRDefault="009C32A2"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USD766,3 millones</w:t>
            </w:r>
          </w:p>
        </w:tc>
      </w:tr>
      <w:tr w:rsidR="00133E9A" w:rsidRPr="009362CD" w14:paraId="6C313383" w14:textId="77777777" w:rsidTr="007374F0">
        <w:trPr>
          <w:gridAfter w:val="1"/>
          <w:wAfter w:w="98" w:type="dxa"/>
        </w:trPr>
        <w:tc>
          <w:tcPr>
            <w:tcW w:w="2689" w:type="dxa"/>
          </w:tcPr>
          <w:p w14:paraId="70812821"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IP Aeropuertos de Suroccidente</w:t>
            </w:r>
          </w:p>
        </w:tc>
        <w:tc>
          <w:tcPr>
            <w:tcW w:w="2268" w:type="dxa"/>
          </w:tcPr>
          <w:p w14:paraId="25ED7912"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estructuración</w:t>
            </w:r>
          </w:p>
        </w:tc>
        <w:tc>
          <w:tcPr>
            <w:tcW w:w="1559" w:type="dxa"/>
          </w:tcPr>
          <w:p w14:paraId="224A5D6A"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$1,42 billones</w:t>
            </w:r>
          </w:p>
        </w:tc>
        <w:tc>
          <w:tcPr>
            <w:tcW w:w="1745" w:type="dxa"/>
          </w:tcPr>
          <w:p w14:paraId="19EE75FD" w14:textId="77777777" w:rsidR="00133E9A" w:rsidRPr="009362CD" w:rsidRDefault="009C32A2"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USD384,5 millones</w:t>
            </w:r>
          </w:p>
        </w:tc>
      </w:tr>
      <w:tr w:rsidR="00133E9A" w:rsidRPr="009362CD" w14:paraId="24157E46" w14:textId="77777777" w:rsidTr="007374F0">
        <w:trPr>
          <w:gridAfter w:val="1"/>
          <w:wAfter w:w="98" w:type="dxa"/>
        </w:trPr>
        <w:tc>
          <w:tcPr>
            <w:tcW w:w="2689" w:type="dxa"/>
          </w:tcPr>
          <w:p w14:paraId="3692292B"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La Dorada – Chiriguaná</w:t>
            </w:r>
          </w:p>
        </w:tc>
        <w:tc>
          <w:tcPr>
            <w:tcW w:w="2268" w:type="dxa"/>
          </w:tcPr>
          <w:p w14:paraId="204224C6"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estructuración</w:t>
            </w:r>
          </w:p>
        </w:tc>
        <w:tc>
          <w:tcPr>
            <w:tcW w:w="1559" w:type="dxa"/>
          </w:tcPr>
          <w:p w14:paraId="248984B7"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$1,59 billones</w:t>
            </w:r>
          </w:p>
        </w:tc>
        <w:tc>
          <w:tcPr>
            <w:tcW w:w="1745" w:type="dxa"/>
          </w:tcPr>
          <w:p w14:paraId="4AB53094" w14:textId="77777777" w:rsidR="00133E9A" w:rsidRPr="009362CD" w:rsidRDefault="007374F0"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USD430,5 millones</w:t>
            </w:r>
          </w:p>
        </w:tc>
      </w:tr>
      <w:tr w:rsidR="00133E9A" w:rsidRPr="009362CD" w14:paraId="5AF8C62C" w14:textId="77777777" w:rsidTr="007374F0">
        <w:trPr>
          <w:gridAfter w:val="1"/>
          <w:wAfter w:w="98" w:type="dxa"/>
        </w:trPr>
        <w:tc>
          <w:tcPr>
            <w:tcW w:w="2689" w:type="dxa"/>
          </w:tcPr>
          <w:p w14:paraId="679A1B78"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IP Santuario – Caño Alegre</w:t>
            </w:r>
          </w:p>
        </w:tc>
        <w:tc>
          <w:tcPr>
            <w:tcW w:w="2268" w:type="dxa"/>
          </w:tcPr>
          <w:p w14:paraId="1E1CB4D8"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En estructuración</w:t>
            </w:r>
          </w:p>
        </w:tc>
        <w:tc>
          <w:tcPr>
            <w:tcW w:w="1559" w:type="dxa"/>
          </w:tcPr>
          <w:p w14:paraId="4E528BAC"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$3,25 billones</w:t>
            </w:r>
          </w:p>
        </w:tc>
        <w:tc>
          <w:tcPr>
            <w:tcW w:w="1745" w:type="dxa"/>
          </w:tcPr>
          <w:p w14:paraId="4FC53115" w14:textId="77777777" w:rsidR="00133E9A" w:rsidRPr="009362CD" w:rsidRDefault="007374F0"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USD880 millones</w:t>
            </w:r>
          </w:p>
        </w:tc>
      </w:tr>
      <w:tr w:rsidR="00133E9A" w:rsidRPr="009362CD" w14:paraId="7BDB6BF4" w14:textId="77777777" w:rsidTr="007374F0">
        <w:trPr>
          <w:gridAfter w:val="1"/>
          <w:wAfter w:w="98" w:type="dxa"/>
        </w:trPr>
        <w:tc>
          <w:tcPr>
            <w:tcW w:w="2689" w:type="dxa"/>
          </w:tcPr>
          <w:p w14:paraId="14D77422"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IP Aeropuerto de San Andrés</w:t>
            </w:r>
          </w:p>
        </w:tc>
        <w:tc>
          <w:tcPr>
            <w:tcW w:w="2268" w:type="dxa"/>
          </w:tcPr>
          <w:p w14:paraId="288EF047" w14:textId="77777777" w:rsidR="00133E9A" w:rsidRPr="009362CD" w:rsidRDefault="00133E9A"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Publicado en prepliegos</w:t>
            </w:r>
          </w:p>
        </w:tc>
        <w:tc>
          <w:tcPr>
            <w:tcW w:w="1559" w:type="dxa"/>
          </w:tcPr>
          <w:p w14:paraId="0EA4A8EA" w14:textId="77777777" w:rsidR="00133E9A" w:rsidRPr="009362CD" w:rsidRDefault="00C5192F"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$0,29 billones</w:t>
            </w:r>
          </w:p>
        </w:tc>
        <w:tc>
          <w:tcPr>
            <w:tcW w:w="1745" w:type="dxa"/>
          </w:tcPr>
          <w:p w14:paraId="5DF0D9AB" w14:textId="77777777" w:rsidR="00133E9A" w:rsidRPr="009362CD" w:rsidRDefault="007374F0" w:rsidP="009362CD">
            <w:pPr>
              <w:pStyle w:val="ListParagraph"/>
              <w:spacing w:line="276" w:lineRule="auto"/>
              <w:ind w:left="0"/>
              <w:jc w:val="both"/>
              <w:rPr>
                <w:rFonts w:ascii="Arial" w:hAnsi="Arial" w:cs="Arial"/>
                <w:sz w:val="18"/>
                <w:szCs w:val="18"/>
                <w:lang w:val="es-ES_tradnl"/>
              </w:rPr>
            </w:pPr>
            <w:r w:rsidRPr="009362CD">
              <w:rPr>
                <w:rFonts w:ascii="Arial" w:hAnsi="Arial" w:cs="Arial"/>
                <w:sz w:val="18"/>
                <w:szCs w:val="18"/>
                <w:lang w:val="es-ES_tradnl"/>
              </w:rPr>
              <w:t>US$78,5 millones</w:t>
            </w:r>
          </w:p>
        </w:tc>
      </w:tr>
      <w:tr w:rsidR="00133E9A" w:rsidRPr="009362CD" w14:paraId="5850BD39" w14:textId="77777777" w:rsidTr="00B7779A">
        <w:tc>
          <w:tcPr>
            <w:tcW w:w="4957" w:type="dxa"/>
            <w:gridSpan w:val="2"/>
            <w:shd w:val="clear" w:color="auto" w:fill="2E74B5" w:themeFill="accent1" w:themeFillShade="BF"/>
          </w:tcPr>
          <w:p w14:paraId="2BC972FE" w14:textId="77777777" w:rsidR="00133E9A" w:rsidRPr="009362CD" w:rsidRDefault="00133E9A" w:rsidP="009362CD">
            <w:pPr>
              <w:pStyle w:val="ListParagraph"/>
              <w:spacing w:line="276" w:lineRule="auto"/>
              <w:ind w:left="0"/>
              <w:jc w:val="center"/>
              <w:rPr>
                <w:rFonts w:ascii="Arial" w:hAnsi="Arial" w:cs="Arial"/>
                <w:b/>
                <w:bCs/>
                <w:sz w:val="18"/>
                <w:szCs w:val="18"/>
                <w:lang w:val="es-ES_tradnl"/>
              </w:rPr>
            </w:pPr>
            <w:r w:rsidRPr="009362CD">
              <w:rPr>
                <w:rFonts w:ascii="Arial" w:hAnsi="Arial" w:cs="Arial"/>
                <w:b/>
                <w:bCs/>
                <w:color w:val="FFFFFF" w:themeColor="background1"/>
                <w:sz w:val="18"/>
                <w:szCs w:val="18"/>
                <w:lang w:val="es-ES_tradnl"/>
              </w:rPr>
              <w:t>TOTAL</w:t>
            </w:r>
          </w:p>
        </w:tc>
        <w:tc>
          <w:tcPr>
            <w:tcW w:w="1559" w:type="dxa"/>
            <w:shd w:val="clear" w:color="auto" w:fill="2E74B5" w:themeFill="accent1" w:themeFillShade="BF"/>
          </w:tcPr>
          <w:p w14:paraId="6A4D3DC8" w14:textId="77777777" w:rsidR="00133E9A" w:rsidRPr="009362CD" w:rsidRDefault="007374F0" w:rsidP="009362CD">
            <w:pPr>
              <w:pStyle w:val="ListParagraph"/>
              <w:spacing w:line="276" w:lineRule="auto"/>
              <w:ind w:left="0"/>
              <w:jc w:val="both"/>
              <w:rPr>
                <w:rFonts w:ascii="Arial" w:hAnsi="Arial" w:cs="Arial"/>
                <w:color w:val="FFFFFF" w:themeColor="background1"/>
                <w:sz w:val="18"/>
                <w:szCs w:val="18"/>
                <w:lang w:val="es-ES_tradnl"/>
              </w:rPr>
            </w:pPr>
            <w:r w:rsidRPr="009362CD">
              <w:rPr>
                <w:rFonts w:ascii="Arial" w:hAnsi="Arial" w:cs="Arial"/>
                <w:color w:val="FFFFFF" w:themeColor="background1"/>
                <w:sz w:val="18"/>
                <w:szCs w:val="18"/>
                <w:lang w:val="es-ES_tradnl"/>
              </w:rPr>
              <w:t>$18,5 billones</w:t>
            </w:r>
          </w:p>
        </w:tc>
        <w:tc>
          <w:tcPr>
            <w:tcW w:w="1843" w:type="dxa"/>
            <w:gridSpan w:val="2"/>
            <w:shd w:val="clear" w:color="auto" w:fill="2E74B5" w:themeFill="accent1" w:themeFillShade="BF"/>
          </w:tcPr>
          <w:p w14:paraId="304814BF" w14:textId="77777777" w:rsidR="00133E9A" w:rsidRPr="009362CD" w:rsidRDefault="007374F0" w:rsidP="009362CD">
            <w:pPr>
              <w:pStyle w:val="ListParagraph"/>
              <w:spacing w:line="276" w:lineRule="auto"/>
              <w:ind w:left="0"/>
              <w:jc w:val="both"/>
              <w:rPr>
                <w:rFonts w:ascii="Arial" w:hAnsi="Arial" w:cs="Arial"/>
                <w:color w:val="FFFFFF" w:themeColor="background1"/>
                <w:sz w:val="18"/>
                <w:szCs w:val="18"/>
                <w:lang w:val="es-ES_tradnl"/>
              </w:rPr>
            </w:pPr>
            <w:r w:rsidRPr="009362CD">
              <w:rPr>
                <w:rFonts w:ascii="Arial" w:hAnsi="Arial" w:cs="Arial"/>
                <w:color w:val="FFFFFF" w:themeColor="background1"/>
                <w:sz w:val="18"/>
                <w:szCs w:val="18"/>
                <w:lang w:val="es-ES_tradnl"/>
              </w:rPr>
              <w:t>USD5.025 millones</w:t>
            </w:r>
          </w:p>
        </w:tc>
      </w:tr>
    </w:tbl>
    <w:p w14:paraId="2C782BBE" w14:textId="77777777" w:rsidR="001E43C1" w:rsidRPr="009362CD" w:rsidRDefault="001E43C1" w:rsidP="009362CD">
      <w:pPr>
        <w:spacing w:line="276" w:lineRule="auto"/>
        <w:ind w:firstLine="284"/>
        <w:jc w:val="both"/>
        <w:rPr>
          <w:rFonts w:ascii="Arial" w:hAnsi="Arial" w:cs="Arial"/>
          <w:i/>
          <w:iCs/>
          <w:sz w:val="20"/>
          <w:szCs w:val="20"/>
          <w:lang w:val="es-ES_tradnl"/>
        </w:rPr>
      </w:pPr>
      <w:r w:rsidRPr="009362CD">
        <w:rPr>
          <w:rFonts w:ascii="Arial" w:hAnsi="Arial" w:cs="Arial"/>
          <w:i/>
          <w:iCs/>
          <w:sz w:val="20"/>
          <w:szCs w:val="20"/>
          <w:lang w:val="es-ES_tradnl"/>
        </w:rPr>
        <w:t xml:space="preserve">Proyectos </w:t>
      </w:r>
      <w:r w:rsidR="00B7779A" w:rsidRPr="009362CD">
        <w:rPr>
          <w:rFonts w:ascii="Arial" w:hAnsi="Arial" w:cs="Arial"/>
          <w:i/>
          <w:iCs/>
          <w:sz w:val="20"/>
          <w:szCs w:val="20"/>
          <w:lang w:val="es-ES_tradnl"/>
        </w:rPr>
        <w:t xml:space="preserve">por adjudicar </w:t>
      </w:r>
      <w:r w:rsidRPr="009362CD">
        <w:rPr>
          <w:rFonts w:ascii="Arial" w:hAnsi="Arial" w:cs="Arial"/>
          <w:i/>
          <w:iCs/>
          <w:sz w:val="20"/>
          <w:szCs w:val="20"/>
          <w:lang w:val="es-ES_tradnl"/>
        </w:rPr>
        <w:t>de las Concesiones del Bicentenario*</w:t>
      </w:r>
    </w:p>
    <w:p w14:paraId="1932F16A" w14:textId="77777777" w:rsidR="00531ACE" w:rsidRDefault="00531ACE" w:rsidP="009362CD">
      <w:pPr>
        <w:spacing w:line="276" w:lineRule="auto"/>
        <w:jc w:val="both"/>
        <w:rPr>
          <w:rFonts w:ascii="Arial" w:hAnsi="Arial" w:cs="Arial"/>
          <w:b/>
          <w:i/>
          <w:u w:val="single"/>
          <w:lang w:val="es-ES_tradnl"/>
        </w:rPr>
      </w:pPr>
    </w:p>
    <w:p w14:paraId="52643DBB" w14:textId="77777777" w:rsidR="00251A2F" w:rsidRPr="009362CD" w:rsidRDefault="00251A2F" w:rsidP="009362CD">
      <w:pPr>
        <w:spacing w:line="276" w:lineRule="auto"/>
        <w:jc w:val="both"/>
        <w:rPr>
          <w:rFonts w:ascii="Arial" w:hAnsi="Arial" w:cs="Arial"/>
          <w:lang w:val="es-ES_tradnl"/>
        </w:rPr>
      </w:pPr>
      <w:r w:rsidRPr="009362CD">
        <w:rPr>
          <w:rFonts w:ascii="Arial" w:hAnsi="Arial" w:cs="Arial"/>
          <w:b/>
          <w:i/>
          <w:u w:val="single"/>
          <w:lang w:val="es-ES_tradnl"/>
        </w:rPr>
        <w:t>AEROPUERTOS NO CONCESIONADOS</w:t>
      </w:r>
    </w:p>
    <w:p w14:paraId="6AA1210C" w14:textId="6712F3F0" w:rsidR="0054785A" w:rsidRPr="009362CD" w:rsidRDefault="00CC36E0" w:rsidP="009362CD">
      <w:pPr>
        <w:pStyle w:val="ListParagraph"/>
        <w:numPr>
          <w:ilvl w:val="0"/>
          <w:numId w:val="33"/>
        </w:numPr>
        <w:spacing w:line="276" w:lineRule="auto"/>
        <w:jc w:val="both"/>
        <w:rPr>
          <w:rFonts w:ascii="Arial" w:hAnsi="Arial" w:cs="Arial"/>
          <w:lang w:val="es-ES_tradnl"/>
        </w:rPr>
      </w:pPr>
      <w:r w:rsidRPr="009362CD">
        <w:rPr>
          <w:rFonts w:ascii="Arial" w:hAnsi="Arial" w:cs="Arial"/>
          <w:lang w:val="es-ES_tradnl"/>
        </w:rPr>
        <w:t xml:space="preserve">En </w:t>
      </w:r>
      <w:r w:rsidR="0054785A" w:rsidRPr="009362CD">
        <w:rPr>
          <w:rFonts w:ascii="Arial" w:hAnsi="Arial" w:cs="Arial"/>
          <w:lang w:val="es-ES_tradnl"/>
        </w:rPr>
        <w:t>los aeropuertos no concesionados</w:t>
      </w:r>
      <w:r w:rsidRPr="009362CD">
        <w:rPr>
          <w:rFonts w:ascii="Arial" w:hAnsi="Arial" w:cs="Arial"/>
          <w:lang w:val="es-ES_tradnl"/>
        </w:rPr>
        <w:t xml:space="preserve"> </w:t>
      </w:r>
      <w:r w:rsidR="0054785A" w:rsidRPr="009362CD">
        <w:rPr>
          <w:rFonts w:ascii="Arial" w:hAnsi="Arial" w:cs="Arial"/>
          <w:lang w:val="es-ES_tradnl"/>
        </w:rPr>
        <w:t>se</w:t>
      </w:r>
      <w:r w:rsidR="00B0418F" w:rsidRPr="009362CD">
        <w:rPr>
          <w:rFonts w:ascii="Arial" w:hAnsi="Arial" w:cs="Arial"/>
          <w:lang w:val="es-ES_tradnl"/>
        </w:rPr>
        <w:t xml:space="preserve"> han ejecutado USD667,9 millones </w:t>
      </w:r>
      <w:r w:rsidR="00D97076">
        <w:rPr>
          <w:rFonts w:ascii="Arial" w:hAnsi="Arial" w:cs="Arial"/>
          <w:lang w:val="es-ES_tradnl"/>
        </w:rPr>
        <w:t>(</w:t>
      </w:r>
      <w:r w:rsidR="00B0418F" w:rsidRPr="009362CD">
        <w:rPr>
          <w:rFonts w:ascii="Arial" w:hAnsi="Arial" w:cs="Arial"/>
          <w:lang w:val="es-ES_tradnl"/>
        </w:rPr>
        <w:t xml:space="preserve">con TRM promedio de 2021 de $3.743) </w:t>
      </w:r>
      <w:r w:rsidR="0054785A" w:rsidRPr="009362CD">
        <w:rPr>
          <w:rFonts w:ascii="Arial" w:hAnsi="Arial" w:cs="Arial"/>
          <w:lang w:val="es-ES_tradnl"/>
        </w:rPr>
        <w:t>en 112 proyectos, de los cuales, con corte al 28 de febrero</w:t>
      </w:r>
      <w:r w:rsidRPr="009362CD">
        <w:rPr>
          <w:rFonts w:ascii="Arial" w:hAnsi="Arial" w:cs="Arial"/>
          <w:lang w:val="es-ES_tradnl"/>
        </w:rPr>
        <w:t>,</w:t>
      </w:r>
      <w:r w:rsidR="0054785A" w:rsidRPr="009362CD">
        <w:rPr>
          <w:rFonts w:ascii="Arial" w:hAnsi="Arial" w:cs="Arial"/>
          <w:lang w:val="es-ES_tradnl"/>
        </w:rPr>
        <w:t xml:space="preserve"> 48 están en ejecución y 64 se han finalizado, teniendo así 56 aeropuertos intervenidos y 33.900 empleos generados y a generar.</w:t>
      </w:r>
    </w:p>
    <w:p w14:paraId="7114A89E" w14:textId="77777777" w:rsidR="00043F67" w:rsidRDefault="00043F67" w:rsidP="009362CD">
      <w:pPr>
        <w:pStyle w:val="Heading2"/>
        <w:rPr>
          <w:rFonts w:ascii="Arial" w:hAnsi="Arial" w:cs="Arial"/>
          <w:sz w:val="22"/>
          <w:szCs w:val="22"/>
        </w:rPr>
      </w:pPr>
      <w:bookmarkStart w:id="2" w:name="_Toc102058767"/>
    </w:p>
    <w:p w14:paraId="427DBBB3" w14:textId="00AFAAB3" w:rsidR="0054785A" w:rsidRPr="009362CD" w:rsidRDefault="0054785A" w:rsidP="009362CD">
      <w:pPr>
        <w:pStyle w:val="Heading2"/>
        <w:rPr>
          <w:rFonts w:ascii="Arial" w:hAnsi="Arial" w:cs="Arial"/>
          <w:sz w:val="22"/>
          <w:szCs w:val="22"/>
        </w:rPr>
      </w:pPr>
      <w:r w:rsidRPr="009362CD">
        <w:rPr>
          <w:rFonts w:ascii="Arial" w:hAnsi="Arial" w:cs="Arial"/>
          <w:sz w:val="22"/>
          <w:szCs w:val="22"/>
        </w:rPr>
        <w:t xml:space="preserve"> </w:t>
      </w:r>
      <w:r w:rsidR="00B56767">
        <w:rPr>
          <w:rFonts w:ascii="Arial" w:hAnsi="Arial" w:cs="Arial"/>
          <w:sz w:val="22"/>
          <w:szCs w:val="22"/>
        </w:rPr>
        <w:t xml:space="preserve">Contratación de otras vías </w:t>
      </w:r>
      <w:bookmarkEnd w:id="2"/>
      <w:r w:rsidR="00043F67">
        <w:rPr>
          <w:rFonts w:ascii="Arial" w:hAnsi="Arial" w:cs="Arial"/>
          <w:sz w:val="22"/>
          <w:szCs w:val="22"/>
        </w:rPr>
        <w:t>para mejorar la movilidad en las regiones de Colombia</w:t>
      </w:r>
    </w:p>
    <w:p w14:paraId="69F49929" w14:textId="563637B6" w:rsidR="005D2C81" w:rsidRPr="009362CD" w:rsidRDefault="00CB020F" w:rsidP="009362CD">
      <w:pPr>
        <w:pStyle w:val="ListParagraph"/>
        <w:numPr>
          <w:ilvl w:val="0"/>
          <w:numId w:val="9"/>
        </w:numPr>
        <w:spacing w:line="276" w:lineRule="auto"/>
        <w:jc w:val="both"/>
        <w:rPr>
          <w:rFonts w:ascii="Arial" w:hAnsi="Arial" w:cs="Arial"/>
          <w:lang w:val="es-ES_tradnl"/>
        </w:rPr>
      </w:pPr>
      <w:r>
        <w:rPr>
          <w:rFonts w:ascii="Arial" w:hAnsi="Arial" w:cs="Arial"/>
          <w:lang w:val="es-ES_tradnl"/>
        </w:rPr>
        <w:t>Actualmente, s</w:t>
      </w:r>
      <w:r w:rsidR="00CC36E0" w:rsidRPr="009362CD">
        <w:rPr>
          <w:rFonts w:ascii="Arial" w:hAnsi="Arial" w:cs="Arial"/>
          <w:lang w:val="es-ES_tradnl"/>
        </w:rPr>
        <w:t>e</w:t>
      </w:r>
      <w:r w:rsidR="0054785A" w:rsidRPr="009362CD">
        <w:rPr>
          <w:rFonts w:ascii="Arial" w:hAnsi="Arial" w:cs="Arial"/>
          <w:lang w:val="es-ES_tradnl"/>
        </w:rPr>
        <w:t xml:space="preserve"> invierten </w:t>
      </w:r>
      <w:r w:rsidR="00AA115E" w:rsidRPr="009362CD">
        <w:rPr>
          <w:rFonts w:ascii="Arial" w:hAnsi="Arial" w:cs="Arial"/>
          <w:lang w:val="es-ES_tradnl"/>
        </w:rPr>
        <w:t xml:space="preserve">USD4.007 millones </w:t>
      </w:r>
      <w:r w:rsidR="004F7217">
        <w:rPr>
          <w:rFonts w:ascii="Arial" w:hAnsi="Arial" w:cs="Arial"/>
          <w:lang w:val="es-ES_tradnl"/>
        </w:rPr>
        <w:t>(</w:t>
      </w:r>
      <w:r w:rsidR="00AA115E" w:rsidRPr="009362CD">
        <w:rPr>
          <w:rFonts w:ascii="Arial" w:hAnsi="Arial" w:cs="Arial"/>
          <w:lang w:val="es-ES_tradnl"/>
        </w:rPr>
        <w:t>con TRM de 2021 de $3.743</w:t>
      </w:r>
      <w:r w:rsidR="004F7217">
        <w:rPr>
          <w:rFonts w:ascii="Arial" w:hAnsi="Arial" w:cs="Arial"/>
          <w:lang w:val="es-ES_tradnl"/>
        </w:rPr>
        <w:t xml:space="preserve"> pesos colombianos</w:t>
      </w:r>
      <w:r w:rsidR="00AA115E" w:rsidRPr="009362CD">
        <w:rPr>
          <w:rFonts w:ascii="Arial" w:hAnsi="Arial" w:cs="Arial"/>
          <w:lang w:val="es-ES_tradnl"/>
        </w:rPr>
        <w:t>)</w:t>
      </w:r>
      <w:r w:rsidR="0054785A" w:rsidRPr="009362CD">
        <w:rPr>
          <w:rFonts w:ascii="Arial" w:hAnsi="Arial" w:cs="Arial"/>
          <w:lang w:val="es-ES_tradnl"/>
        </w:rPr>
        <w:t xml:space="preserve"> en 50 proyectos </w:t>
      </w:r>
      <w:r w:rsidR="004F7217">
        <w:rPr>
          <w:rFonts w:ascii="Arial" w:hAnsi="Arial" w:cs="Arial"/>
          <w:lang w:val="es-ES_tradnl"/>
        </w:rPr>
        <w:t xml:space="preserve">viales (programa denominado </w:t>
      </w:r>
      <w:r w:rsidR="0054785A" w:rsidRPr="009362CD">
        <w:rPr>
          <w:rFonts w:ascii="Arial" w:hAnsi="Arial" w:cs="Arial"/>
          <w:lang w:val="es-ES_tradnl"/>
        </w:rPr>
        <w:t>Compromiso por Colombia</w:t>
      </w:r>
      <w:r w:rsidR="004F7217">
        <w:rPr>
          <w:rFonts w:ascii="Arial" w:hAnsi="Arial" w:cs="Arial"/>
          <w:lang w:val="es-ES_tradnl"/>
        </w:rPr>
        <w:t>)</w:t>
      </w:r>
      <w:r w:rsidR="0054785A" w:rsidRPr="009362CD">
        <w:rPr>
          <w:rFonts w:ascii="Arial" w:hAnsi="Arial" w:cs="Arial"/>
          <w:lang w:val="es-ES_tradnl"/>
        </w:rPr>
        <w:t xml:space="preserve"> y </w:t>
      </w:r>
      <w:r w:rsidR="004F7217">
        <w:rPr>
          <w:rFonts w:ascii="Arial" w:hAnsi="Arial" w:cs="Arial"/>
          <w:lang w:val="es-ES_tradnl"/>
        </w:rPr>
        <w:t xml:space="preserve">otros </w:t>
      </w:r>
      <w:r w:rsidR="0054785A" w:rsidRPr="009362CD">
        <w:rPr>
          <w:rFonts w:ascii="Arial" w:hAnsi="Arial" w:cs="Arial"/>
          <w:lang w:val="es-ES_tradnl"/>
        </w:rPr>
        <w:t xml:space="preserve">32 </w:t>
      </w:r>
      <w:r w:rsidR="004F7217">
        <w:rPr>
          <w:rFonts w:ascii="Arial" w:hAnsi="Arial" w:cs="Arial"/>
          <w:lang w:val="es-ES_tradnl"/>
        </w:rPr>
        <w:t xml:space="preserve">(en un programa de </w:t>
      </w:r>
      <w:r w:rsidR="0054785A" w:rsidRPr="009362CD">
        <w:rPr>
          <w:rFonts w:ascii="Arial" w:hAnsi="Arial" w:cs="Arial"/>
          <w:lang w:val="es-ES_tradnl"/>
        </w:rPr>
        <w:t xml:space="preserve">Reactivación </w:t>
      </w:r>
      <w:r w:rsidR="004F7217">
        <w:rPr>
          <w:rFonts w:ascii="Arial" w:hAnsi="Arial" w:cs="Arial"/>
          <w:lang w:val="es-ES_tradnl"/>
        </w:rPr>
        <w:t>2.0 y que fue lanzado por el gobierno durante la pandemia)</w:t>
      </w:r>
      <w:r w:rsidR="0054785A" w:rsidRPr="009362CD">
        <w:rPr>
          <w:rFonts w:ascii="Arial" w:hAnsi="Arial" w:cs="Arial"/>
          <w:lang w:val="es-ES_tradnl"/>
        </w:rPr>
        <w:t xml:space="preserve"> Dentro de los proyectos de Compromiso por Colombia, están todos adjudicados y en su mayoría en plena ejecución para la construcción </w:t>
      </w:r>
      <w:r w:rsidR="00CC36E0" w:rsidRPr="009362CD">
        <w:rPr>
          <w:rFonts w:ascii="Arial" w:hAnsi="Arial" w:cs="Arial"/>
          <w:lang w:val="es-ES_tradnl"/>
        </w:rPr>
        <w:t xml:space="preserve">de </w:t>
      </w:r>
      <w:r w:rsidR="0054785A" w:rsidRPr="009362CD">
        <w:rPr>
          <w:rFonts w:ascii="Arial" w:hAnsi="Arial" w:cs="Arial"/>
          <w:lang w:val="es-ES_tradnl"/>
        </w:rPr>
        <w:t>1.660 km de vías nacionales, de los cuales 25 proyectos terminarán este año. Por su parte, los 32 proyectos Reactivación 2.0 se encuentran firmados para la construcción de 1.150 km de vías nacionales en una visión a largo plazo 2030. Con estos 82 proyectos, se estima la generación de cerca de 200.000 empleos.</w:t>
      </w:r>
    </w:p>
    <w:p w14:paraId="67A4B5E6" w14:textId="0B2932DD" w:rsidR="005D2C81" w:rsidRPr="009362CD" w:rsidRDefault="004F7217" w:rsidP="009362CD">
      <w:pPr>
        <w:pStyle w:val="ListParagraph"/>
        <w:numPr>
          <w:ilvl w:val="0"/>
          <w:numId w:val="9"/>
        </w:numPr>
        <w:spacing w:line="276" w:lineRule="auto"/>
        <w:jc w:val="both"/>
        <w:rPr>
          <w:rFonts w:ascii="Arial" w:hAnsi="Arial" w:cs="Arial"/>
          <w:lang w:val="es-ES_tradnl"/>
        </w:rPr>
      </w:pPr>
      <w:r>
        <w:rPr>
          <w:rFonts w:ascii="Arial" w:hAnsi="Arial" w:cs="Arial"/>
          <w:lang w:val="es-ES_tradnl"/>
        </w:rPr>
        <w:t>Así, las cosas, e</w:t>
      </w:r>
      <w:r w:rsidR="00CC36E0" w:rsidRPr="009362CD">
        <w:rPr>
          <w:rFonts w:ascii="Arial" w:hAnsi="Arial" w:cs="Arial"/>
          <w:lang w:val="es-ES_tradnl"/>
        </w:rPr>
        <w:t xml:space="preserve">l </w:t>
      </w:r>
      <w:r>
        <w:rPr>
          <w:rFonts w:ascii="Arial" w:hAnsi="Arial" w:cs="Arial"/>
          <w:lang w:val="es-ES_tradnl"/>
        </w:rPr>
        <w:t>Instituto Nacional del Vías</w:t>
      </w:r>
      <w:r w:rsidR="0054785A" w:rsidRPr="009362CD">
        <w:rPr>
          <w:rFonts w:ascii="Arial" w:hAnsi="Arial" w:cs="Arial"/>
          <w:lang w:val="es-ES_tradnl"/>
        </w:rPr>
        <w:t xml:space="preserve"> entregará a final de gobierno más de 493 km de segundas nuevas calzadas y pavimento nuevo construido en vías primarias. A marzo de 2022 ya se han entregado 310 km. Adicionalmente, se han rehabilitado más de 3.985 km de red primaria de los 4.628 km que espera entregar a final de gobierno, y se han invertido </w:t>
      </w:r>
      <w:r w:rsidR="00AA115E" w:rsidRPr="009362CD">
        <w:rPr>
          <w:rFonts w:ascii="Arial" w:hAnsi="Arial" w:cs="Arial"/>
          <w:lang w:val="es-ES_tradnl"/>
        </w:rPr>
        <w:t xml:space="preserve"> USD1.496 millones </w:t>
      </w:r>
      <w:r>
        <w:rPr>
          <w:rFonts w:ascii="Arial" w:hAnsi="Arial" w:cs="Arial"/>
          <w:lang w:val="es-ES_tradnl"/>
        </w:rPr>
        <w:t>(</w:t>
      </w:r>
      <w:r w:rsidR="00AA115E" w:rsidRPr="009362CD">
        <w:rPr>
          <w:rFonts w:ascii="Arial" w:hAnsi="Arial" w:cs="Arial"/>
          <w:lang w:val="es-ES_tradnl"/>
        </w:rPr>
        <w:t>con TRM de $3.743)</w:t>
      </w:r>
      <w:r w:rsidR="0054785A" w:rsidRPr="009362CD">
        <w:rPr>
          <w:rFonts w:ascii="Arial" w:hAnsi="Arial" w:cs="Arial"/>
          <w:lang w:val="es-ES_tradnl"/>
        </w:rPr>
        <w:t xml:space="preserve"> para la atención de vías rurales, aquellas para las cuales las inversiones promedio anuales de los últimos 20 años eran de </w:t>
      </w:r>
      <w:r w:rsidR="00AA115E" w:rsidRPr="009362CD">
        <w:rPr>
          <w:rFonts w:ascii="Arial" w:hAnsi="Arial" w:cs="Arial"/>
          <w:lang w:val="es-ES_tradnl"/>
        </w:rPr>
        <w:t>USD26,7 millones</w:t>
      </w:r>
      <w:r w:rsidR="0054785A" w:rsidRPr="009362CD">
        <w:rPr>
          <w:rFonts w:ascii="Arial" w:hAnsi="Arial" w:cs="Arial"/>
          <w:lang w:val="es-ES_tradnl"/>
        </w:rPr>
        <w:t>; esta inversión ha permitido la construcción y mejoramiento de 3.541 km de vías terciarias y espera entregar a final de gobierno 5.040 km, además de 12.400 km mejorados transitables y 15.000 km con mantenimiento en vías terciarias.</w:t>
      </w:r>
    </w:p>
    <w:p w14:paraId="34E329FF" w14:textId="0F3453C9" w:rsidR="0054785A" w:rsidRPr="009362CD" w:rsidRDefault="00CC36E0" w:rsidP="009362CD">
      <w:pPr>
        <w:pStyle w:val="ListParagraph"/>
        <w:numPr>
          <w:ilvl w:val="0"/>
          <w:numId w:val="9"/>
        </w:numPr>
        <w:spacing w:line="276" w:lineRule="auto"/>
        <w:jc w:val="both"/>
        <w:rPr>
          <w:rFonts w:ascii="Arial" w:hAnsi="Arial" w:cs="Arial"/>
          <w:lang w:val="es-ES_tradnl"/>
        </w:rPr>
      </w:pPr>
      <w:r w:rsidRPr="009362CD">
        <w:rPr>
          <w:rFonts w:ascii="Arial" w:hAnsi="Arial" w:cs="Arial"/>
          <w:lang w:val="es-ES_tradnl"/>
        </w:rPr>
        <w:t>La</w:t>
      </w:r>
      <w:r w:rsidR="0054785A" w:rsidRPr="009362CD">
        <w:rPr>
          <w:rFonts w:ascii="Arial" w:hAnsi="Arial" w:cs="Arial"/>
          <w:lang w:val="es-ES_tradnl"/>
        </w:rPr>
        <w:t xml:space="preserve"> inversión en infraestructura</w:t>
      </w:r>
      <w:r w:rsidR="005D2C81" w:rsidRPr="009362CD">
        <w:rPr>
          <w:rFonts w:ascii="Arial" w:hAnsi="Arial" w:cs="Arial"/>
          <w:lang w:val="es-ES_tradnl"/>
        </w:rPr>
        <w:t xml:space="preserve"> fluvial</w:t>
      </w:r>
      <w:r w:rsidRPr="009362CD">
        <w:rPr>
          <w:rFonts w:ascii="Arial" w:hAnsi="Arial" w:cs="Arial"/>
          <w:lang w:val="es-ES_tradnl"/>
        </w:rPr>
        <w:t xml:space="preserve"> </w:t>
      </w:r>
      <w:r w:rsidR="0054785A" w:rsidRPr="009362CD">
        <w:rPr>
          <w:rFonts w:ascii="Arial" w:hAnsi="Arial" w:cs="Arial"/>
          <w:lang w:val="es-ES_tradnl"/>
        </w:rPr>
        <w:t xml:space="preserve">ha alcanzado </w:t>
      </w:r>
      <w:r w:rsidR="00AA115E" w:rsidRPr="009362CD">
        <w:rPr>
          <w:rFonts w:ascii="Arial" w:hAnsi="Arial" w:cs="Arial"/>
          <w:lang w:val="es-ES_tradnl"/>
        </w:rPr>
        <w:t>USD43 millones</w:t>
      </w:r>
      <w:r w:rsidRPr="009362CD">
        <w:rPr>
          <w:rFonts w:ascii="Arial" w:hAnsi="Arial" w:cs="Arial"/>
          <w:lang w:val="es-ES_tradnl"/>
        </w:rPr>
        <w:t>. La inversión e</w:t>
      </w:r>
      <w:r w:rsidR="0054785A" w:rsidRPr="009362CD">
        <w:rPr>
          <w:rFonts w:ascii="Arial" w:hAnsi="Arial" w:cs="Arial"/>
          <w:lang w:val="es-ES_tradnl"/>
        </w:rPr>
        <w:t xml:space="preserve">n gobiernos anteriores </w:t>
      </w:r>
      <w:r w:rsidRPr="009362CD">
        <w:rPr>
          <w:rFonts w:ascii="Arial" w:hAnsi="Arial" w:cs="Arial"/>
          <w:lang w:val="es-ES_tradnl"/>
        </w:rPr>
        <w:t>era</w:t>
      </w:r>
      <w:r w:rsidR="0054785A" w:rsidRPr="009362CD">
        <w:rPr>
          <w:rFonts w:ascii="Arial" w:hAnsi="Arial" w:cs="Arial"/>
          <w:lang w:val="es-ES_tradnl"/>
        </w:rPr>
        <w:t xml:space="preserve"> de </w:t>
      </w:r>
      <w:r w:rsidR="00AA115E" w:rsidRPr="009362CD">
        <w:rPr>
          <w:rFonts w:ascii="Arial" w:hAnsi="Arial" w:cs="Arial"/>
          <w:lang w:val="es-ES_tradnl"/>
        </w:rPr>
        <w:t>USD15,7 millones</w:t>
      </w:r>
      <w:r w:rsidRPr="009362CD">
        <w:rPr>
          <w:rFonts w:ascii="Arial" w:hAnsi="Arial" w:cs="Arial"/>
          <w:lang w:val="es-ES_tradnl"/>
        </w:rPr>
        <w:t>. En</w:t>
      </w:r>
      <w:r w:rsidR="0054785A" w:rsidRPr="009362CD">
        <w:rPr>
          <w:rFonts w:ascii="Arial" w:hAnsi="Arial" w:cs="Arial"/>
          <w:lang w:val="es-ES_tradnl"/>
        </w:rPr>
        <w:t xml:space="preserve"> cuanto a la ferroviaria, se invierten </w:t>
      </w:r>
      <w:r w:rsidR="00AA115E" w:rsidRPr="009362CD">
        <w:rPr>
          <w:rFonts w:ascii="Arial" w:hAnsi="Arial" w:cs="Arial"/>
          <w:lang w:val="es-ES_tradnl"/>
        </w:rPr>
        <w:t xml:space="preserve">USD61,4 millones </w:t>
      </w:r>
      <w:r w:rsidR="0054785A" w:rsidRPr="009362CD">
        <w:rPr>
          <w:rFonts w:ascii="Arial" w:hAnsi="Arial" w:cs="Arial"/>
          <w:lang w:val="es-ES_tradnl"/>
        </w:rPr>
        <w:t>en el programa de Vías Verdes.</w:t>
      </w:r>
    </w:p>
    <w:p w14:paraId="09CEF5A1" w14:textId="77777777" w:rsidR="0054785A" w:rsidRPr="009362CD" w:rsidRDefault="0054785A" w:rsidP="009362CD">
      <w:pPr>
        <w:pStyle w:val="Heading2"/>
        <w:rPr>
          <w:rFonts w:ascii="Arial" w:hAnsi="Arial" w:cs="Arial"/>
          <w:sz w:val="22"/>
          <w:szCs w:val="22"/>
        </w:rPr>
      </w:pPr>
      <w:bookmarkStart w:id="3" w:name="_Toc102058768"/>
      <w:r w:rsidRPr="009362CD">
        <w:rPr>
          <w:rFonts w:ascii="Arial" w:hAnsi="Arial" w:cs="Arial"/>
          <w:sz w:val="22"/>
          <w:szCs w:val="22"/>
        </w:rPr>
        <w:lastRenderedPageBreak/>
        <w:t>PUERTOS</w:t>
      </w:r>
      <w:bookmarkEnd w:id="3"/>
    </w:p>
    <w:p w14:paraId="63B1DABB" w14:textId="77777777" w:rsidR="005D2C81" w:rsidRPr="009362CD" w:rsidRDefault="0054785A" w:rsidP="009362CD">
      <w:pPr>
        <w:pStyle w:val="ListParagraph"/>
        <w:numPr>
          <w:ilvl w:val="0"/>
          <w:numId w:val="11"/>
        </w:numPr>
        <w:spacing w:line="276" w:lineRule="auto"/>
        <w:jc w:val="both"/>
        <w:rPr>
          <w:rFonts w:ascii="Arial" w:hAnsi="Arial" w:cs="Arial"/>
          <w:lang w:val="es-ES_tradnl"/>
        </w:rPr>
      </w:pPr>
      <w:r w:rsidRPr="009362CD">
        <w:rPr>
          <w:rFonts w:ascii="Arial" w:hAnsi="Arial" w:cs="Arial"/>
          <w:lang w:val="es-ES_tradnl"/>
        </w:rPr>
        <w:t xml:space="preserve">A través de la ANI, desde agosto de 2018 </w:t>
      </w:r>
      <w:r w:rsidR="00CC36E0" w:rsidRPr="009362CD">
        <w:rPr>
          <w:rFonts w:ascii="Arial" w:hAnsi="Arial" w:cs="Arial"/>
          <w:lang w:val="es-ES_tradnl"/>
        </w:rPr>
        <w:t>se han</w:t>
      </w:r>
      <w:r w:rsidRPr="009362CD">
        <w:rPr>
          <w:rFonts w:ascii="Arial" w:hAnsi="Arial" w:cs="Arial"/>
          <w:lang w:val="es-ES_tradnl"/>
        </w:rPr>
        <w:t xml:space="preserve"> invertido cerca de </w:t>
      </w:r>
      <w:r w:rsidR="00AA115E" w:rsidRPr="009362CD">
        <w:rPr>
          <w:rFonts w:ascii="Arial" w:hAnsi="Arial" w:cs="Arial"/>
          <w:lang w:val="es-ES_tradnl"/>
        </w:rPr>
        <w:t>USD</w:t>
      </w:r>
      <w:r w:rsidR="005D2C81" w:rsidRPr="009362CD">
        <w:rPr>
          <w:rFonts w:ascii="Arial" w:hAnsi="Arial" w:cs="Arial"/>
          <w:lang w:val="es-ES_tradnl"/>
        </w:rPr>
        <w:t xml:space="preserve">172,8 millones </w:t>
      </w:r>
      <w:r w:rsidRPr="009362CD">
        <w:rPr>
          <w:rFonts w:ascii="Arial" w:hAnsi="Arial" w:cs="Arial"/>
          <w:lang w:val="es-ES_tradnl"/>
        </w:rPr>
        <w:t>en las 63 terminales portuarias marítimas concesionadas, que han permitido jalonar la generación de empleo, creando alrededor de 15.000 puestos de trabajo</w:t>
      </w:r>
      <w:r w:rsidR="005D2C81" w:rsidRPr="009362CD">
        <w:rPr>
          <w:rFonts w:ascii="Arial" w:hAnsi="Arial" w:cs="Arial"/>
          <w:lang w:val="es-ES_tradnl"/>
        </w:rPr>
        <w:t>,</w:t>
      </w:r>
      <w:r w:rsidRPr="009362CD">
        <w:rPr>
          <w:rFonts w:ascii="Arial" w:hAnsi="Arial" w:cs="Arial"/>
          <w:lang w:val="es-ES_tradnl"/>
        </w:rPr>
        <w:t xml:space="preserve"> directos e indirectos. Gracias a estos recursos, los puertos vienen aumentando su capacidad de carga, que en 2018 rondaba los 373 millones de toneladas, y cerró 2021 en 445 millones de toneladas. </w:t>
      </w:r>
    </w:p>
    <w:p w14:paraId="39212F72" w14:textId="77777777" w:rsidR="0054785A" w:rsidRPr="009362CD" w:rsidRDefault="0054785A" w:rsidP="009362CD">
      <w:pPr>
        <w:pStyle w:val="ListParagraph"/>
        <w:numPr>
          <w:ilvl w:val="0"/>
          <w:numId w:val="11"/>
        </w:numPr>
        <w:spacing w:line="276" w:lineRule="auto"/>
        <w:jc w:val="both"/>
        <w:rPr>
          <w:rFonts w:ascii="Arial" w:hAnsi="Arial" w:cs="Arial"/>
          <w:lang w:val="es-ES_tradnl"/>
        </w:rPr>
      </w:pPr>
      <w:r w:rsidRPr="009362CD">
        <w:rPr>
          <w:rFonts w:ascii="Arial" w:hAnsi="Arial" w:cs="Arial"/>
          <w:lang w:val="es-ES_tradnl"/>
        </w:rPr>
        <w:t xml:space="preserve">Las nueve zonas portuarias del país movilizaron 168 millones de toneladas durante 2021, una variación positiva del 1,4%, que equivale a 2,3 millones de toneladas más, frente a lo transportado en 2020. </w:t>
      </w:r>
      <w:r w:rsidR="00CC36E0" w:rsidRPr="009362CD">
        <w:rPr>
          <w:rFonts w:ascii="Arial" w:hAnsi="Arial" w:cs="Arial"/>
          <w:lang w:val="es-ES_tradnl"/>
        </w:rPr>
        <w:t xml:space="preserve">Se trabaja en </w:t>
      </w:r>
      <w:r w:rsidRPr="009362CD">
        <w:rPr>
          <w:rFonts w:ascii="Arial" w:hAnsi="Arial" w:cs="Arial"/>
          <w:lang w:val="es-ES_tradnl"/>
        </w:rPr>
        <w:t xml:space="preserve">la actualización de la Política Portuaria </w:t>
      </w:r>
      <w:r w:rsidR="00CC36E0" w:rsidRPr="009362CD">
        <w:rPr>
          <w:rFonts w:ascii="Arial" w:hAnsi="Arial" w:cs="Arial"/>
          <w:lang w:val="es-ES_tradnl"/>
        </w:rPr>
        <w:t>con</w:t>
      </w:r>
      <w:r w:rsidRPr="009362CD">
        <w:rPr>
          <w:rFonts w:ascii="Arial" w:hAnsi="Arial" w:cs="Arial"/>
          <w:lang w:val="es-ES_tradnl"/>
        </w:rPr>
        <w:t xml:space="preserve"> un documento </w:t>
      </w:r>
      <w:r w:rsidR="002E716A" w:rsidRPr="009362CD">
        <w:rPr>
          <w:rFonts w:ascii="Arial" w:hAnsi="Arial" w:cs="Arial"/>
          <w:lang w:val="es-ES_tradnl"/>
        </w:rPr>
        <w:t>CONPES</w:t>
      </w:r>
      <w:r w:rsidRPr="009362CD">
        <w:rPr>
          <w:rFonts w:ascii="Arial" w:hAnsi="Arial" w:cs="Arial"/>
          <w:lang w:val="es-ES_tradnl"/>
        </w:rPr>
        <w:t>, que permitirá encaminar el sector a un mejor futuro.</w:t>
      </w:r>
    </w:p>
    <w:p w14:paraId="4925F763" w14:textId="77777777" w:rsidR="0054785A" w:rsidRPr="009362CD" w:rsidRDefault="0054785A" w:rsidP="009362CD">
      <w:pPr>
        <w:pStyle w:val="Heading2"/>
        <w:rPr>
          <w:rFonts w:ascii="Arial" w:hAnsi="Arial" w:cs="Arial"/>
          <w:sz w:val="22"/>
          <w:szCs w:val="22"/>
        </w:rPr>
      </w:pPr>
      <w:bookmarkStart w:id="4" w:name="_Toc102058769"/>
      <w:r w:rsidRPr="009362CD">
        <w:rPr>
          <w:rFonts w:ascii="Arial" w:hAnsi="Arial" w:cs="Arial"/>
          <w:sz w:val="22"/>
          <w:szCs w:val="22"/>
        </w:rPr>
        <w:t>FERROVIARIO</w:t>
      </w:r>
      <w:bookmarkEnd w:id="4"/>
    </w:p>
    <w:p w14:paraId="50907C09" w14:textId="77777777" w:rsidR="005D2C81" w:rsidRPr="009362CD" w:rsidRDefault="0054785A" w:rsidP="009362CD">
      <w:pPr>
        <w:pStyle w:val="ListParagraph"/>
        <w:numPr>
          <w:ilvl w:val="0"/>
          <w:numId w:val="12"/>
        </w:numPr>
        <w:spacing w:line="276" w:lineRule="auto"/>
        <w:jc w:val="both"/>
        <w:rPr>
          <w:rFonts w:ascii="Arial" w:hAnsi="Arial" w:cs="Arial"/>
          <w:lang w:val="es-ES_tradnl"/>
        </w:rPr>
      </w:pPr>
      <w:r w:rsidRPr="009362CD">
        <w:rPr>
          <w:rFonts w:ascii="Arial" w:hAnsi="Arial" w:cs="Arial"/>
          <w:lang w:val="es-ES_tradnl"/>
        </w:rPr>
        <w:t>A través de este modo, se moviliza cerca del 23% de la carga total del país, incluyendo carbón y petróleo. Es por esto que se han llevado a cabo acciones que logren el posicionamiento del modo férreo como una opción real de transporte y se han consolidado corredores logísticos que han permitido una mejor conectividad del interior del país con los puertos de Caribe y una mayor conexión de Cundinamarca y Boyacá, con la ciudad de Bogotá.</w:t>
      </w:r>
    </w:p>
    <w:p w14:paraId="51F354C3" w14:textId="77777777" w:rsidR="005D2C81" w:rsidRPr="009362CD" w:rsidRDefault="00CC36E0" w:rsidP="009362CD">
      <w:pPr>
        <w:pStyle w:val="ListParagraph"/>
        <w:numPr>
          <w:ilvl w:val="0"/>
          <w:numId w:val="12"/>
        </w:numPr>
        <w:spacing w:line="276" w:lineRule="auto"/>
        <w:jc w:val="both"/>
        <w:rPr>
          <w:rFonts w:ascii="Arial" w:hAnsi="Arial" w:cs="Arial"/>
          <w:lang w:val="es-ES_tradnl"/>
        </w:rPr>
      </w:pPr>
      <w:r w:rsidRPr="009362CD">
        <w:rPr>
          <w:rFonts w:ascii="Arial" w:hAnsi="Arial" w:cs="Arial"/>
          <w:lang w:val="es-ES_tradnl"/>
        </w:rPr>
        <w:t>Se</w:t>
      </w:r>
      <w:r w:rsidR="0054785A" w:rsidRPr="009362CD">
        <w:rPr>
          <w:rFonts w:ascii="Arial" w:hAnsi="Arial" w:cs="Arial"/>
          <w:lang w:val="es-ES_tradnl"/>
        </w:rPr>
        <w:t xml:space="preserve"> elaboró el Plan Maestro Ferroviario, </w:t>
      </w:r>
      <w:r w:rsidRPr="009362CD">
        <w:rPr>
          <w:rFonts w:ascii="Arial" w:hAnsi="Arial" w:cs="Arial"/>
          <w:lang w:val="es-ES_tradnl"/>
        </w:rPr>
        <w:t xml:space="preserve">que </w:t>
      </w:r>
      <w:r w:rsidR="0054785A" w:rsidRPr="009362CD">
        <w:rPr>
          <w:rFonts w:ascii="Arial" w:hAnsi="Arial" w:cs="Arial"/>
          <w:lang w:val="es-ES_tradnl"/>
        </w:rPr>
        <w:t xml:space="preserve">incluye lineamientos y recomendaciones en los componentes institucional, regulatorio, de planificación de proyectos, escenarios de financiación y de normatividad. Ante esto, el Plan Nacional de Desarrollo estableció como meta el aumento en más del doble de los kilómetros de operación comercial: pasar de 420 </w:t>
      </w:r>
      <w:r w:rsidR="005D2C81" w:rsidRPr="009362CD">
        <w:rPr>
          <w:rFonts w:ascii="Arial" w:hAnsi="Arial" w:cs="Arial"/>
          <w:lang w:val="es-ES_tradnl"/>
        </w:rPr>
        <w:t>km a 1.077 km en el cuatrienio.</w:t>
      </w:r>
    </w:p>
    <w:p w14:paraId="7F07A177" w14:textId="77777777" w:rsidR="004708A9" w:rsidRPr="009362CD" w:rsidRDefault="004708A9" w:rsidP="009362CD">
      <w:pPr>
        <w:pStyle w:val="Heading2"/>
        <w:rPr>
          <w:rFonts w:ascii="Arial" w:hAnsi="Arial" w:cs="Arial"/>
          <w:sz w:val="22"/>
          <w:szCs w:val="22"/>
        </w:rPr>
      </w:pPr>
      <w:bookmarkStart w:id="5" w:name="_Toc102058770"/>
      <w:r w:rsidRPr="009362CD">
        <w:rPr>
          <w:rFonts w:ascii="Arial" w:hAnsi="Arial" w:cs="Arial"/>
          <w:sz w:val="22"/>
          <w:szCs w:val="22"/>
        </w:rPr>
        <w:t>MOVILIDAD SOSTENIBLE</w:t>
      </w:r>
      <w:bookmarkEnd w:id="5"/>
    </w:p>
    <w:p w14:paraId="62CA5042" w14:textId="77777777" w:rsidR="005943D1" w:rsidRPr="009362CD" w:rsidRDefault="00251A2F" w:rsidP="009362CD">
      <w:pPr>
        <w:pStyle w:val="ListParagraph"/>
        <w:numPr>
          <w:ilvl w:val="0"/>
          <w:numId w:val="20"/>
        </w:numPr>
        <w:spacing w:line="276" w:lineRule="auto"/>
        <w:jc w:val="both"/>
        <w:rPr>
          <w:rFonts w:ascii="Arial" w:hAnsi="Arial" w:cs="Arial"/>
          <w:lang w:val="es-ES_tradnl"/>
        </w:rPr>
      </w:pPr>
      <w:r w:rsidRPr="009362CD">
        <w:rPr>
          <w:rFonts w:ascii="Arial" w:hAnsi="Arial" w:cs="Arial"/>
          <w:lang w:val="es-ES_tradnl"/>
        </w:rPr>
        <w:t xml:space="preserve">Actualmente, el país cuenta con 7.782 </w:t>
      </w:r>
      <w:r w:rsidR="004708A9" w:rsidRPr="009362CD">
        <w:rPr>
          <w:rFonts w:ascii="Arial" w:hAnsi="Arial" w:cs="Arial"/>
          <w:lang w:val="es-ES_tradnl"/>
        </w:rPr>
        <w:t xml:space="preserve">vehículos eléctricos inscritos en el Registro único Nacional de Tránsito (Runt), </w:t>
      </w:r>
      <w:r w:rsidRPr="009362CD">
        <w:rPr>
          <w:rFonts w:ascii="Arial" w:hAnsi="Arial" w:cs="Arial"/>
          <w:lang w:val="es-ES_tradnl"/>
        </w:rPr>
        <w:t>más de</w:t>
      </w:r>
      <w:r w:rsidR="004708A9" w:rsidRPr="009362CD">
        <w:rPr>
          <w:rFonts w:ascii="Arial" w:hAnsi="Arial" w:cs="Arial"/>
          <w:lang w:val="es-ES_tradnl"/>
        </w:rPr>
        <w:t xml:space="preserve"> </w:t>
      </w:r>
      <w:r w:rsidR="00CC36E0" w:rsidRPr="009362CD">
        <w:rPr>
          <w:rFonts w:ascii="Arial" w:hAnsi="Arial" w:cs="Arial"/>
          <w:lang w:val="es-ES_tradnl"/>
        </w:rPr>
        <w:t>1.</w:t>
      </w:r>
      <w:r w:rsidRPr="009362CD">
        <w:rPr>
          <w:rFonts w:ascii="Arial" w:hAnsi="Arial" w:cs="Arial"/>
          <w:lang w:val="es-ES_tradnl"/>
        </w:rPr>
        <w:t>1</w:t>
      </w:r>
      <w:r w:rsidR="00CC36E0" w:rsidRPr="009362CD">
        <w:rPr>
          <w:rFonts w:ascii="Arial" w:hAnsi="Arial" w:cs="Arial"/>
          <w:lang w:val="es-ES_tradnl"/>
        </w:rPr>
        <w:t>00</w:t>
      </w:r>
      <w:r w:rsidR="004708A9" w:rsidRPr="009362CD">
        <w:rPr>
          <w:rFonts w:ascii="Arial" w:hAnsi="Arial" w:cs="Arial"/>
          <w:lang w:val="es-ES_tradnl"/>
        </w:rPr>
        <w:t xml:space="preserve"> más que los 6.600 que se había impuesto como meta</w:t>
      </w:r>
      <w:r w:rsidRPr="009362CD">
        <w:rPr>
          <w:rFonts w:ascii="Arial" w:hAnsi="Arial" w:cs="Arial"/>
          <w:lang w:val="es-ES_tradnl"/>
        </w:rPr>
        <w:t xml:space="preserve"> el Gobierno</w:t>
      </w:r>
      <w:r w:rsidR="004708A9" w:rsidRPr="009362CD">
        <w:rPr>
          <w:rFonts w:ascii="Arial" w:hAnsi="Arial" w:cs="Arial"/>
          <w:lang w:val="es-ES_tradnl"/>
        </w:rPr>
        <w:t xml:space="preserve"> en el Plan Nacional de Desarrollo para agosto de 2022.</w:t>
      </w:r>
      <w:r w:rsidR="005943D1" w:rsidRPr="009362CD">
        <w:rPr>
          <w:rFonts w:ascii="Arial" w:hAnsi="Arial" w:cs="Arial"/>
          <w:lang w:val="es-ES_tradnl"/>
        </w:rPr>
        <w:t xml:space="preserve"> </w:t>
      </w:r>
    </w:p>
    <w:p w14:paraId="0675E1E6" w14:textId="77777777" w:rsidR="005943D1" w:rsidRPr="009362CD" w:rsidRDefault="005943D1" w:rsidP="009362CD">
      <w:pPr>
        <w:pStyle w:val="ListParagraph"/>
        <w:numPr>
          <w:ilvl w:val="0"/>
          <w:numId w:val="20"/>
        </w:numPr>
        <w:spacing w:line="276" w:lineRule="auto"/>
        <w:jc w:val="both"/>
        <w:rPr>
          <w:rFonts w:ascii="Arial" w:hAnsi="Arial" w:cs="Arial"/>
          <w:lang w:val="es-ES_tradnl"/>
        </w:rPr>
      </w:pPr>
      <w:r w:rsidRPr="009362CD">
        <w:rPr>
          <w:rFonts w:ascii="Arial" w:hAnsi="Arial" w:cs="Arial"/>
          <w:lang w:val="es-ES_tradnl"/>
        </w:rPr>
        <w:t xml:space="preserve">En estos cuatro años, el Gobierno de Colombia ha </w:t>
      </w:r>
      <w:r w:rsidR="00251A2F" w:rsidRPr="009362CD">
        <w:rPr>
          <w:rFonts w:ascii="Arial" w:hAnsi="Arial" w:cs="Arial"/>
          <w:lang w:val="es-ES_tradnl"/>
        </w:rPr>
        <w:t xml:space="preserve">más que </w:t>
      </w:r>
      <w:r w:rsidRPr="009362CD">
        <w:rPr>
          <w:rFonts w:ascii="Arial" w:hAnsi="Arial" w:cs="Arial"/>
          <w:lang w:val="es-ES_tradnl"/>
        </w:rPr>
        <w:t xml:space="preserve">triplicado los 2.165 vehículos eléctricos que estaban registrados en el país entre 2010 y 2018. </w:t>
      </w:r>
    </w:p>
    <w:p w14:paraId="7367F9EF" w14:textId="39E14064" w:rsidR="004708A9" w:rsidRPr="009362CD" w:rsidRDefault="005943D1" w:rsidP="009362CD">
      <w:pPr>
        <w:pStyle w:val="ListParagraph"/>
        <w:numPr>
          <w:ilvl w:val="0"/>
          <w:numId w:val="20"/>
        </w:numPr>
        <w:spacing w:line="276" w:lineRule="auto"/>
        <w:jc w:val="both"/>
        <w:rPr>
          <w:rFonts w:ascii="Arial" w:hAnsi="Arial" w:cs="Arial"/>
          <w:lang w:val="es-ES_tradnl"/>
        </w:rPr>
      </w:pPr>
      <w:r w:rsidRPr="009362CD">
        <w:rPr>
          <w:rFonts w:ascii="Arial" w:hAnsi="Arial" w:cs="Arial"/>
          <w:lang w:val="es-ES_tradnl"/>
        </w:rPr>
        <w:t xml:space="preserve">Se han hecho incentivos para la masificación de las tecnologías de cero y bajas emisiones, a través de la Ley 1964 del 2019, entre estos se encuentran que la tarifa para el impuesto sobre vehículos eléctricos no podrá superar el 1% del valor comercial, un descuento del 10% en el </w:t>
      </w:r>
      <w:r w:rsidR="00E12C11">
        <w:rPr>
          <w:rFonts w:ascii="Arial" w:hAnsi="Arial" w:cs="Arial"/>
          <w:lang w:val="es-ES_tradnl"/>
        </w:rPr>
        <w:t>seguro de accidentes de tránsito</w:t>
      </w:r>
      <w:r w:rsidRPr="009362CD">
        <w:rPr>
          <w:rFonts w:ascii="Arial" w:hAnsi="Arial" w:cs="Arial"/>
          <w:lang w:val="es-ES_tradnl"/>
        </w:rPr>
        <w:t xml:space="preserve"> y 30% en revisión </w:t>
      </w:r>
      <w:r w:rsidR="00E12C11">
        <w:rPr>
          <w:rFonts w:ascii="Arial" w:hAnsi="Arial" w:cs="Arial"/>
          <w:lang w:val="es-ES_tradnl"/>
        </w:rPr>
        <w:t xml:space="preserve">obligatoria que evalúa las condiciones </w:t>
      </w:r>
      <w:r w:rsidRPr="009362CD">
        <w:rPr>
          <w:rFonts w:ascii="Arial" w:hAnsi="Arial" w:cs="Arial"/>
          <w:lang w:val="es-ES_tradnl"/>
        </w:rPr>
        <w:t>técnico – mecánica</w:t>
      </w:r>
      <w:r w:rsidR="00E12C11">
        <w:rPr>
          <w:rFonts w:ascii="Arial" w:hAnsi="Arial" w:cs="Arial"/>
          <w:lang w:val="es-ES_tradnl"/>
        </w:rPr>
        <w:t>s de los automotores y que se realiza de manera periódica por ley</w:t>
      </w:r>
      <w:r w:rsidRPr="009362CD">
        <w:rPr>
          <w:rFonts w:ascii="Arial" w:hAnsi="Arial" w:cs="Arial"/>
          <w:lang w:val="es-ES_tradnl"/>
        </w:rPr>
        <w:t>, además de excepciones a ciertas restricciones vehiculares, de acuerdo a lo que determinen las ciudades.</w:t>
      </w:r>
    </w:p>
    <w:p w14:paraId="76EC4DAB" w14:textId="77777777" w:rsidR="00886CB0" w:rsidRPr="009362CD" w:rsidRDefault="00654418" w:rsidP="009362CD">
      <w:pPr>
        <w:pStyle w:val="Heading2"/>
        <w:rPr>
          <w:rFonts w:ascii="Arial" w:hAnsi="Arial" w:cs="Arial"/>
          <w:sz w:val="22"/>
          <w:szCs w:val="22"/>
        </w:rPr>
      </w:pPr>
      <w:bookmarkStart w:id="6" w:name="_Toc102058772"/>
      <w:r w:rsidRPr="009362CD">
        <w:rPr>
          <w:rFonts w:ascii="Arial" w:hAnsi="Arial" w:cs="Arial"/>
          <w:sz w:val="22"/>
          <w:szCs w:val="22"/>
        </w:rPr>
        <w:t>PUERTO ANTIOQUIA</w:t>
      </w:r>
      <w:bookmarkEnd w:id="6"/>
    </w:p>
    <w:p w14:paraId="626C7F19" w14:textId="58D01DDE" w:rsidR="00886CB0" w:rsidRPr="009362CD" w:rsidRDefault="00886CB0" w:rsidP="009362CD">
      <w:pPr>
        <w:pStyle w:val="ListParagraph"/>
        <w:numPr>
          <w:ilvl w:val="0"/>
          <w:numId w:val="16"/>
        </w:numPr>
        <w:spacing w:line="276" w:lineRule="auto"/>
        <w:jc w:val="both"/>
        <w:rPr>
          <w:rFonts w:ascii="Arial" w:hAnsi="Arial" w:cs="Arial"/>
          <w:lang w:val="es-ES_tradnl"/>
        </w:rPr>
      </w:pPr>
      <w:r w:rsidRPr="009362CD">
        <w:rPr>
          <w:rFonts w:ascii="Arial" w:hAnsi="Arial" w:cs="Arial"/>
          <w:lang w:val="es-ES_tradnl"/>
        </w:rPr>
        <w:t xml:space="preserve">En enero de 2022 se consolidó el cierre financiero de Puerto Antioquia </w:t>
      </w:r>
      <w:r w:rsidR="00E12C11">
        <w:rPr>
          <w:rFonts w:ascii="Arial" w:hAnsi="Arial" w:cs="Arial"/>
          <w:lang w:val="es-ES_tradnl"/>
        </w:rPr>
        <w:t xml:space="preserve">(norte del país) </w:t>
      </w:r>
      <w:r w:rsidRPr="009362CD">
        <w:rPr>
          <w:rFonts w:ascii="Arial" w:hAnsi="Arial" w:cs="Arial"/>
          <w:lang w:val="es-ES_tradnl"/>
        </w:rPr>
        <w:t xml:space="preserve">por USD393,7 millones. El cierre financiero contó con la participación de la </w:t>
      </w:r>
      <w:r w:rsidRPr="009362CD">
        <w:rPr>
          <w:rFonts w:ascii="Arial" w:hAnsi="Arial" w:cs="Arial"/>
          <w:lang w:val="es-ES_tradnl"/>
        </w:rPr>
        <w:lastRenderedPageBreak/>
        <w:t xml:space="preserve">Financiera de Desarrollo Nacional (USD$103,7 millones), el Banco Interamericano de Desarrollo (USD$200 millones), </w:t>
      </w:r>
      <w:proofErr w:type="spellStart"/>
      <w:r w:rsidRPr="009362CD">
        <w:rPr>
          <w:rFonts w:ascii="Arial" w:hAnsi="Arial" w:cs="Arial"/>
          <w:lang w:val="es-ES_tradnl"/>
        </w:rPr>
        <w:t>Bancoldex</w:t>
      </w:r>
      <w:proofErr w:type="spellEnd"/>
      <w:r w:rsidRPr="009362CD">
        <w:rPr>
          <w:rFonts w:ascii="Arial" w:hAnsi="Arial" w:cs="Arial"/>
          <w:lang w:val="es-ES_tradnl"/>
        </w:rPr>
        <w:t xml:space="preserve"> (USD$30 millones), y Davivienda (USD$60 millones). </w:t>
      </w:r>
    </w:p>
    <w:p w14:paraId="7754C429" w14:textId="77777777" w:rsidR="00886CB0" w:rsidRPr="009362CD" w:rsidRDefault="00CC36E0" w:rsidP="009362CD">
      <w:pPr>
        <w:pStyle w:val="ListParagraph"/>
        <w:numPr>
          <w:ilvl w:val="0"/>
          <w:numId w:val="16"/>
        </w:numPr>
        <w:spacing w:line="276" w:lineRule="auto"/>
        <w:jc w:val="both"/>
        <w:rPr>
          <w:rFonts w:ascii="Arial" w:hAnsi="Arial" w:cs="Arial"/>
          <w:lang w:val="es-ES_tradnl"/>
        </w:rPr>
      </w:pPr>
      <w:r w:rsidRPr="009362CD">
        <w:rPr>
          <w:rFonts w:ascii="Arial" w:hAnsi="Arial" w:cs="Arial"/>
          <w:lang w:val="es-ES_tradnl"/>
        </w:rPr>
        <w:t xml:space="preserve">El proyecto </w:t>
      </w:r>
      <w:r w:rsidR="00886CB0" w:rsidRPr="009362CD">
        <w:rPr>
          <w:rFonts w:ascii="Arial" w:hAnsi="Arial" w:cs="Arial"/>
          <w:lang w:val="es-ES_tradnl"/>
        </w:rPr>
        <w:t>generar</w:t>
      </w:r>
      <w:r w:rsidRPr="009362CD">
        <w:rPr>
          <w:rFonts w:ascii="Arial" w:hAnsi="Arial" w:cs="Arial"/>
          <w:lang w:val="es-ES_tradnl"/>
        </w:rPr>
        <w:t>á</w:t>
      </w:r>
      <w:r w:rsidR="00886CB0" w:rsidRPr="009362CD">
        <w:rPr>
          <w:rFonts w:ascii="Arial" w:hAnsi="Arial" w:cs="Arial"/>
          <w:lang w:val="es-ES_tradnl"/>
        </w:rPr>
        <w:t xml:space="preserve"> cerca de 1.900 empleos directos durante su etapa de construcción, invertir USD300 millones en el Urabá y crear más de 11</w:t>
      </w:r>
      <w:r w:rsidRPr="009362CD">
        <w:rPr>
          <w:rFonts w:ascii="Arial" w:hAnsi="Arial" w:cs="Arial"/>
          <w:lang w:val="es-ES_tradnl"/>
        </w:rPr>
        <w:t xml:space="preserve">.000 </w:t>
      </w:r>
      <w:r w:rsidR="00886CB0" w:rsidRPr="009362CD">
        <w:rPr>
          <w:rFonts w:ascii="Arial" w:hAnsi="Arial" w:cs="Arial"/>
          <w:lang w:val="es-ES_tradnl"/>
        </w:rPr>
        <w:t xml:space="preserve">empresas asociadas al transporte marítimo, zonas logísticas, agentes de carga, agencias de aduana, hoteles y restaurantes.    </w:t>
      </w:r>
    </w:p>
    <w:p w14:paraId="09F6502F" w14:textId="77777777" w:rsidR="00886CB0" w:rsidRPr="009362CD" w:rsidRDefault="00886CB0" w:rsidP="009362CD">
      <w:pPr>
        <w:pStyle w:val="ListParagraph"/>
        <w:numPr>
          <w:ilvl w:val="0"/>
          <w:numId w:val="16"/>
        </w:numPr>
        <w:spacing w:line="276" w:lineRule="auto"/>
        <w:jc w:val="both"/>
        <w:rPr>
          <w:rFonts w:ascii="Arial" w:hAnsi="Arial" w:cs="Arial"/>
          <w:lang w:val="es-ES_tradnl"/>
        </w:rPr>
      </w:pPr>
      <w:r w:rsidRPr="009362CD">
        <w:rPr>
          <w:rFonts w:ascii="Arial" w:hAnsi="Arial" w:cs="Arial"/>
          <w:lang w:val="es-ES_tradnl"/>
        </w:rPr>
        <w:t>Este puerto contará con un muelle de 91 m por 570 m y cinco posiciones de atraque. También con una profundidad de 14 m y una capacidad para recibir buques contenedores de 367 m de eslora y 13.000 TEUS.  Su vocación multipropósito le otorga capacidad para movilizar contenedores, graneles, carga general y vehículos.  </w:t>
      </w:r>
    </w:p>
    <w:p w14:paraId="496ED525" w14:textId="77777777" w:rsidR="004F0332" w:rsidRPr="009362CD" w:rsidRDefault="004F0332" w:rsidP="009362CD">
      <w:pPr>
        <w:spacing w:line="276" w:lineRule="auto"/>
        <w:jc w:val="both"/>
        <w:rPr>
          <w:rFonts w:ascii="Arial" w:hAnsi="Arial" w:cs="Arial"/>
          <w:b/>
          <w:bCs/>
          <w:lang w:val="es-ES_tradnl"/>
        </w:rPr>
      </w:pPr>
      <w:r w:rsidRPr="009362CD">
        <w:rPr>
          <w:rFonts w:ascii="Arial" w:hAnsi="Arial" w:cs="Arial"/>
          <w:b/>
          <w:bCs/>
          <w:lang w:val="es-ES_tradnl"/>
        </w:rPr>
        <w:t>PRIMERA LÍNEA DEL METRO DE BOGOTÁ (PLMB) – TRAMO1</w:t>
      </w:r>
    </w:p>
    <w:p w14:paraId="3BF3BD84" w14:textId="03FABECB" w:rsidR="004F0332" w:rsidRPr="009362CD" w:rsidRDefault="004F0332" w:rsidP="009362CD">
      <w:pPr>
        <w:pStyle w:val="ListParagraph"/>
        <w:numPr>
          <w:ilvl w:val="0"/>
          <w:numId w:val="34"/>
        </w:numPr>
        <w:spacing w:line="276" w:lineRule="auto"/>
        <w:jc w:val="both"/>
        <w:rPr>
          <w:rFonts w:ascii="Arial" w:hAnsi="Arial" w:cs="Arial"/>
          <w:lang w:val="es-ES_tradnl"/>
        </w:rPr>
      </w:pPr>
      <w:r w:rsidRPr="009362CD">
        <w:rPr>
          <w:rFonts w:ascii="Arial" w:hAnsi="Arial" w:cs="Arial"/>
          <w:lang w:val="es-ES_tradnl"/>
        </w:rPr>
        <w:t>La Primera Línea del Metro de Bogotá Tramo 1 se constituirá como una de las primeras líneas de metro más extensas de América Latina, incluso por encima de las existentes en ciudades como Quito, Ciudad de Panamá, Sao Paulo y Santiago de Chile; tendrá una extensión de 23,9 kilómetros aproximadamente, 16 estaciones y moverá cerca de 1 millón de pasajeros en un día hábil. La Nación aporta  USD4.552 millones (TRM promedio de 2021, que fue de $3.743), - USD6.713 millones que se invertirán en este proyecto.</w:t>
      </w:r>
    </w:p>
    <w:p w14:paraId="10BA38F6" w14:textId="77777777" w:rsidR="004F0332" w:rsidRPr="009362CD" w:rsidRDefault="004F0332" w:rsidP="009362CD">
      <w:pPr>
        <w:pStyle w:val="ListParagraph"/>
        <w:numPr>
          <w:ilvl w:val="0"/>
          <w:numId w:val="34"/>
        </w:numPr>
        <w:spacing w:line="276" w:lineRule="auto"/>
        <w:jc w:val="both"/>
        <w:rPr>
          <w:rFonts w:ascii="Arial" w:hAnsi="Arial" w:cs="Arial"/>
          <w:lang w:val="es-ES_tradnl"/>
        </w:rPr>
      </w:pPr>
      <w:r w:rsidRPr="009362CD">
        <w:rPr>
          <w:rFonts w:ascii="Arial" w:hAnsi="Arial" w:cs="Arial"/>
          <w:lang w:val="es-ES_tradnl"/>
        </w:rPr>
        <w:t>Con corte a 31 de marzo de 2022 presenta un avance de 13,66% y se estima que su entrada en operación sea en el segundo trimestre de 2028. Según estimaciones, con la Primera Línea del Metro de Bogotá se logrará un ahorro de cerca de 319 millones de horas de viaje por año y con la operación del proyecto integral, se prevé una reducción anual de Gases Efecto Invernadero (GEI) cercana a 61.000 toneladas de CO2, mientras que con respecto a contaminantes del aire se estima una disminución de 7.000 toneladas de CO2.</w:t>
      </w:r>
    </w:p>
    <w:p w14:paraId="5327FE32" w14:textId="77777777" w:rsidR="004F0332" w:rsidRPr="009362CD" w:rsidRDefault="004F0332" w:rsidP="009362CD">
      <w:pPr>
        <w:spacing w:line="276" w:lineRule="auto"/>
        <w:jc w:val="both"/>
        <w:rPr>
          <w:rFonts w:ascii="Arial" w:hAnsi="Arial" w:cs="Arial"/>
          <w:b/>
          <w:bCs/>
          <w:lang w:val="es-ES_tradnl"/>
        </w:rPr>
      </w:pPr>
      <w:r w:rsidRPr="009362CD">
        <w:rPr>
          <w:rFonts w:ascii="Arial" w:hAnsi="Arial" w:cs="Arial"/>
          <w:b/>
          <w:bCs/>
          <w:lang w:val="es-ES_tradnl"/>
        </w:rPr>
        <w:t>TRONCALES AVENIDA 68 Y CIUDAD DE CALI</w:t>
      </w:r>
    </w:p>
    <w:p w14:paraId="404FB348" w14:textId="21E6AF38" w:rsidR="004F0332" w:rsidRPr="009362CD" w:rsidRDefault="004F0332" w:rsidP="009362CD">
      <w:pPr>
        <w:pStyle w:val="ListParagraph"/>
        <w:numPr>
          <w:ilvl w:val="0"/>
          <w:numId w:val="35"/>
        </w:numPr>
        <w:spacing w:line="276" w:lineRule="auto"/>
        <w:jc w:val="both"/>
        <w:rPr>
          <w:rFonts w:ascii="Arial" w:hAnsi="Arial" w:cs="Arial"/>
          <w:lang w:val="es-ES_tradnl"/>
        </w:rPr>
      </w:pPr>
      <w:r w:rsidRPr="009362CD">
        <w:rPr>
          <w:rFonts w:ascii="Arial" w:hAnsi="Arial" w:cs="Arial"/>
          <w:lang w:val="es-ES_tradnl"/>
        </w:rPr>
        <w:t xml:space="preserve">A la Primera Línea del Metro de Bogotá – Tramo 1 se sumará la puesta en marcha de dos </w:t>
      </w:r>
      <w:r w:rsidR="00E12C11">
        <w:rPr>
          <w:rFonts w:ascii="Arial" w:hAnsi="Arial" w:cs="Arial"/>
          <w:lang w:val="es-ES_tradnl"/>
        </w:rPr>
        <w:t>nuevas avenidas en Bogotá</w:t>
      </w:r>
      <w:r w:rsidRPr="009362CD">
        <w:rPr>
          <w:rFonts w:ascii="Arial" w:hAnsi="Arial" w:cs="Arial"/>
          <w:lang w:val="es-ES_tradnl"/>
        </w:rPr>
        <w:t>: se trata de la Avenida Ciudad de Cali (7,2 kilómetros) y de la Avenida 68 (16,9 kilómetros).</w:t>
      </w:r>
    </w:p>
    <w:p w14:paraId="4C9DB94E" w14:textId="145B1683" w:rsidR="004F0332" w:rsidRPr="009362CD" w:rsidRDefault="004F0332" w:rsidP="009362CD">
      <w:pPr>
        <w:pStyle w:val="ListParagraph"/>
        <w:numPr>
          <w:ilvl w:val="0"/>
          <w:numId w:val="35"/>
        </w:numPr>
        <w:spacing w:line="276" w:lineRule="auto"/>
        <w:jc w:val="both"/>
        <w:rPr>
          <w:rFonts w:ascii="Arial" w:hAnsi="Arial" w:cs="Arial"/>
          <w:lang w:val="es-ES_tradnl"/>
        </w:rPr>
      </w:pPr>
      <w:r w:rsidRPr="009362CD">
        <w:rPr>
          <w:rFonts w:ascii="Arial" w:hAnsi="Arial" w:cs="Arial"/>
          <w:lang w:val="es-ES_tradnl"/>
        </w:rPr>
        <w:t>En estos dos proyectos, para los que se requieren USD1.335 millones (TRM promedio de 2021, que fue de $3.743), la Nación hará una inversión de</w:t>
      </w:r>
      <w:r w:rsidR="00E12C11">
        <w:rPr>
          <w:rFonts w:ascii="Arial" w:hAnsi="Arial" w:cs="Arial"/>
          <w:lang w:val="es-ES_tradnl"/>
        </w:rPr>
        <w:t xml:space="preserve"> </w:t>
      </w:r>
      <w:r w:rsidRPr="009362CD">
        <w:rPr>
          <w:rFonts w:ascii="Arial" w:hAnsi="Arial" w:cs="Arial"/>
          <w:lang w:val="es-ES_tradnl"/>
        </w:rPr>
        <w:t>USD1.148 millones (TRM promedio de 2021, que fue de $3.743). Los aportes de la Nación están programados para comenzar en 2020 y concluir en el año 2038.</w:t>
      </w:r>
    </w:p>
    <w:p w14:paraId="59DAD19B" w14:textId="77777777" w:rsidR="004F0332" w:rsidRPr="009362CD" w:rsidRDefault="004F0332" w:rsidP="009362CD">
      <w:pPr>
        <w:spacing w:line="276" w:lineRule="auto"/>
        <w:jc w:val="both"/>
        <w:rPr>
          <w:rFonts w:ascii="Arial" w:hAnsi="Arial" w:cs="Arial"/>
          <w:b/>
          <w:bCs/>
          <w:lang w:val="es-ES_tradnl"/>
        </w:rPr>
      </w:pPr>
      <w:r w:rsidRPr="009362CD">
        <w:rPr>
          <w:rFonts w:ascii="Arial" w:hAnsi="Arial" w:cs="Arial"/>
          <w:b/>
          <w:bCs/>
          <w:lang w:val="es-ES_tradnl"/>
        </w:rPr>
        <w:t>TRANSMILENIO SOACHA FASES 2 Y 3</w:t>
      </w:r>
    </w:p>
    <w:p w14:paraId="3AA81335" w14:textId="23AC9C3D" w:rsidR="004F0332" w:rsidRPr="009362CD" w:rsidRDefault="004F0332" w:rsidP="009362CD">
      <w:pPr>
        <w:pStyle w:val="ListParagraph"/>
        <w:numPr>
          <w:ilvl w:val="0"/>
          <w:numId w:val="36"/>
        </w:numPr>
        <w:spacing w:line="276" w:lineRule="auto"/>
        <w:jc w:val="both"/>
        <w:rPr>
          <w:rFonts w:ascii="Arial" w:hAnsi="Arial" w:cs="Arial"/>
          <w:lang w:val="es-ES_tradnl"/>
        </w:rPr>
      </w:pPr>
      <w:r w:rsidRPr="009362CD">
        <w:rPr>
          <w:rFonts w:ascii="Arial" w:hAnsi="Arial" w:cs="Arial"/>
          <w:lang w:val="es-ES_tradnl"/>
        </w:rPr>
        <w:t xml:space="preserve">Actualmente se ejecuta la extensión de la Troncal NQS de </w:t>
      </w:r>
      <w:proofErr w:type="spellStart"/>
      <w:r w:rsidRPr="009362CD">
        <w:rPr>
          <w:rFonts w:ascii="Arial" w:hAnsi="Arial" w:cs="Arial"/>
          <w:lang w:val="es-ES_tradnl"/>
        </w:rPr>
        <w:t>TransMilenio</w:t>
      </w:r>
      <w:proofErr w:type="spellEnd"/>
      <w:r w:rsidRPr="009362CD">
        <w:rPr>
          <w:rFonts w:ascii="Arial" w:hAnsi="Arial" w:cs="Arial"/>
          <w:lang w:val="es-ES_tradnl"/>
        </w:rPr>
        <w:t xml:space="preserve"> </w:t>
      </w:r>
      <w:r w:rsidR="00E12C11">
        <w:rPr>
          <w:rFonts w:ascii="Arial" w:hAnsi="Arial" w:cs="Arial"/>
          <w:lang w:val="es-ES_tradnl"/>
        </w:rPr>
        <w:t>(entre Bogotá</w:t>
      </w:r>
      <w:r w:rsidRPr="009362CD">
        <w:rPr>
          <w:rFonts w:ascii="Arial" w:hAnsi="Arial" w:cs="Arial"/>
          <w:lang w:val="es-ES_tradnl"/>
        </w:rPr>
        <w:t xml:space="preserve"> </w:t>
      </w:r>
      <w:r w:rsidR="00E12C11">
        <w:rPr>
          <w:rFonts w:ascii="Arial" w:hAnsi="Arial" w:cs="Arial"/>
          <w:lang w:val="es-ES_tradnl"/>
        </w:rPr>
        <w:t>y</w:t>
      </w:r>
      <w:r w:rsidRPr="009362CD">
        <w:rPr>
          <w:rFonts w:ascii="Arial" w:hAnsi="Arial" w:cs="Arial"/>
          <w:lang w:val="es-ES_tradnl"/>
        </w:rPr>
        <w:t xml:space="preserve"> Soacha</w:t>
      </w:r>
      <w:r w:rsidR="00E12C11">
        <w:rPr>
          <w:rFonts w:ascii="Arial" w:hAnsi="Arial" w:cs="Arial"/>
          <w:lang w:val="es-ES_tradnl"/>
        </w:rPr>
        <w:t>)</w:t>
      </w:r>
      <w:r w:rsidRPr="009362CD">
        <w:rPr>
          <w:rFonts w:ascii="Arial" w:hAnsi="Arial" w:cs="Arial"/>
          <w:lang w:val="es-ES_tradnl"/>
        </w:rPr>
        <w:t>, con un avance de 29% en construcción de la infraestructura del Patio-Portal.</w:t>
      </w:r>
    </w:p>
    <w:p w14:paraId="5CF5A14F" w14:textId="08E13129" w:rsidR="004F0332" w:rsidRPr="009362CD" w:rsidRDefault="004F0332" w:rsidP="009362CD">
      <w:pPr>
        <w:pStyle w:val="ListParagraph"/>
        <w:numPr>
          <w:ilvl w:val="0"/>
          <w:numId w:val="36"/>
        </w:numPr>
        <w:spacing w:line="276" w:lineRule="auto"/>
        <w:jc w:val="both"/>
        <w:rPr>
          <w:rFonts w:ascii="Arial" w:hAnsi="Arial" w:cs="Arial"/>
          <w:lang w:val="es-ES_tradnl"/>
        </w:rPr>
      </w:pPr>
      <w:r w:rsidRPr="009362CD">
        <w:rPr>
          <w:rFonts w:ascii="Arial" w:hAnsi="Arial" w:cs="Arial"/>
          <w:lang w:val="es-ES_tradnl"/>
        </w:rPr>
        <w:lastRenderedPageBreak/>
        <w:t>El proyecto tiene un costo total en pesos constantes de 2021 de USD275,1 millones (TRM promedio de 2021, que fue de $3.743), de los cuales la Nación aporta USD191 millones (TRM promedio de 2021, que fue de $3.743).</w:t>
      </w:r>
    </w:p>
    <w:p w14:paraId="563A315C" w14:textId="0A532EB7" w:rsidR="004F0332" w:rsidRPr="009362CD" w:rsidRDefault="004F0332" w:rsidP="009362CD">
      <w:pPr>
        <w:spacing w:line="276" w:lineRule="auto"/>
        <w:jc w:val="both"/>
        <w:rPr>
          <w:rFonts w:ascii="Arial" w:hAnsi="Arial" w:cs="Arial"/>
          <w:b/>
          <w:bCs/>
          <w:lang w:val="es-ES_tradnl"/>
        </w:rPr>
      </w:pPr>
      <w:r w:rsidRPr="009362CD">
        <w:rPr>
          <w:rFonts w:ascii="Arial" w:hAnsi="Arial" w:cs="Arial"/>
          <w:b/>
          <w:bCs/>
          <w:lang w:val="es-ES_tradnl"/>
        </w:rPr>
        <w:t xml:space="preserve"> REGIOTRAM DE OCCIDENTE</w:t>
      </w:r>
      <w:r w:rsidR="00100B95">
        <w:rPr>
          <w:rFonts w:ascii="Arial" w:hAnsi="Arial" w:cs="Arial"/>
          <w:b/>
          <w:bCs/>
          <w:lang w:val="es-ES_tradnl"/>
        </w:rPr>
        <w:t xml:space="preserve"> (Tren de Cercanías)</w:t>
      </w:r>
    </w:p>
    <w:p w14:paraId="11847236" w14:textId="77777777" w:rsidR="004F0332" w:rsidRPr="009362CD" w:rsidRDefault="004F0332" w:rsidP="009362CD">
      <w:pPr>
        <w:pStyle w:val="ListParagraph"/>
        <w:numPr>
          <w:ilvl w:val="0"/>
          <w:numId w:val="37"/>
        </w:numPr>
        <w:spacing w:line="276" w:lineRule="auto"/>
        <w:jc w:val="both"/>
        <w:rPr>
          <w:rFonts w:ascii="Arial" w:hAnsi="Arial" w:cs="Arial"/>
          <w:lang w:val="es-ES_tradnl"/>
        </w:rPr>
      </w:pPr>
      <w:r w:rsidRPr="009362CD">
        <w:rPr>
          <w:rFonts w:ascii="Arial" w:hAnsi="Arial" w:cs="Arial"/>
          <w:lang w:val="es-ES_tradnl"/>
        </w:rPr>
        <w:t>El proyecto conectará los municipios de Funza, Mosquera, Madrid y Facatativá con Bogotá en un servicio que operará como tren de cercanías en las zonas suburbanas y rurales y como tranvía en zonas urbanas.</w:t>
      </w:r>
    </w:p>
    <w:p w14:paraId="211E48A7" w14:textId="457B5477" w:rsidR="009362CD" w:rsidRPr="009362CD" w:rsidRDefault="004F0332" w:rsidP="009362CD">
      <w:pPr>
        <w:pStyle w:val="ListParagraph"/>
        <w:numPr>
          <w:ilvl w:val="0"/>
          <w:numId w:val="37"/>
        </w:numPr>
        <w:spacing w:line="276" w:lineRule="auto"/>
        <w:jc w:val="both"/>
        <w:rPr>
          <w:rFonts w:ascii="Arial" w:hAnsi="Arial" w:cs="Arial"/>
          <w:lang w:val="es-ES_tradnl"/>
        </w:rPr>
      </w:pPr>
      <w:r w:rsidRPr="009362CD">
        <w:rPr>
          <w:rFonts w:ascii="Arial" w:hAnsi="Arial" w:cs="Arial"/>
          <w:lang w:val="es-ES_tradnl"/>
        </w:rPr>
        <w:t xml:space="preserve">Para este nuevo sistema de transporte público, la Nación aporta </w:t>
      </w:r>
      <w:r w:rsidR="009362CD" w:rsidRPr="009362CD">
        <w:rPr>
          <w:rFonts w:ascii="Arial" w:hAnsi="Arial" w:cs="Arial"/>
          <w:lang w:val="es-ES_tradnl"/>
        </w:rPr>
        <w:t>USD406 millones (TRM promedio de 2021, que fue de $3.743)</w:t>
      </w:r>
      <w:r w:rsidRPr="009362CD">
        <w:rPr>
          <w:rFonts w:ascii="Arial" w:hAnsi="Arial" w:cs="Arial"/>
          <w:lang w:val="es-ES_tradnl"/>
        </w:rPr>
        <w:t xml:space="preserve">, inversión que representa el 70% del costo total del proyecto que es </w:t>
      </w:r>
      <w:r w:rsidR="009362CD" w:rsidRPr="009362CD">
        <w:rPr>
          <w:rFonts w:ascii="Arial" w:hAnsi="Arial" w:cs="Arial"/>
          <w:lang w:val="es-ES_tradnl"/>
        </w:rPr>
        <w:t>USD587,7 millones (TRM promedio de 2021, que fue de $3.743)</w:t>
      </w:r>
      <w:r w:rsidRPr="009362CD">
        <w:rPr>
          <w:rFonts w:ascii="Arial" w:hAnsi="Arial" w:cs="Arial"/>
          <w:lang w:val="es-ES_tradnl"/>
        </w:rPr>
        <w:t>. Tendrá una longitud de 40 kilómetros y 17 estaciones, 9 de ellas ubicadas en el Distrito Capital y 8 en los municipios de la Sabana de Occidente. Una de sus estaciones tendrá conexión directa con la Primera Línea del Metro de Bogotá a través del corredor férreo que recorre la capital del país.</w:t>
      </w:r>
    </w:p>
    <w:p w14:paraId="21D5E9A4" w14:textId="77777777" w:rsidR="004F0332" w:rsidRPr="009362CD" w:rsidRDefault="004F0332" w:rsidP="009362CD">
      <w:pPr>
        <w:pStyle w:val="ListParagraph"/>
        <w:numPr>
          <w:ilvl w:val="0"/>
          <w:numId w:val="37"/>
        </w:numPr>
        <w:spacing w:line="276" w:lineRule="auto"/>
        <w:jc w:val="both"/>
        <w:rPr>
          <w:rFonts w:ascii="Arial" w:hAnsi="Arial" w:cs="Arial"/>
          <w:lang w:val="es-ES_tradnl"/>
        </w:rPr>
      </w:pPr>
      <w:r w:rsidRPr="009362CD">
        <w:rPr>
          <w:rFonts w:ascii="Arial" w:hAnsi="Arial" w:cs="Arial"/>
          <w:lang w:val="es-ES_tradnl"/>
        </w:rPr>
        <w:t xml:space="preserve">Actualmente, se encuentra en ejecución la fase previa o etapa de </w:t>
      </w:r>
      <w:proofErr w:type="spellStart"/>
      <w:r w:rsidRPr="009362CD">
        <w:rPr>
          <w:rFonts w:ascii="Arial" w:hAnsi="Arial" w:cs="Arial"/>
          <w:lang w:val="es-ES_tradnl"/>
        </w:rPr>
        <w:t>preconstrucción</w:t>
      </w:r>
      <w:proofErr w:type="spellEnd"/>
      <w:r w:rsidRPr="009362CD">
        <w:rPr>
          <w:rFonts w:ascii="Arial" w:hAnsi="Arial" w:cs="Arial"/>
          <w:lang w:val="es-ES_tradnl"/>
        </w:rPr>
        <w:t xml:space="preserve"> del proyecto, la cual inició el 24 de junio de 2020 y tiene un plazo actual contractual de 34 meses.</w:t>
      </w:r>
      <w:r w:rsidR="009362CD" w:rsidRPr="009362CD">
        <w:rPr>
          <w:rFonts w:ascii="Arial" w:hAnsi="Arial" w:cs="Arial"/>
          <w:lang w:val="es-ES_tradnl"/>
        </w:rPr>
        <w:t xml:space="preserve"> </w:t>
      </w:r>
      <w:r w:rsidRPr="009362CD">
        <w:rPr>
          <w:rFonts w:ascii="Arial" w:hAnsi="Arial" w:cs="Arial"/>
          <w:lang w:val="es-ES_tradnl"/>
        </w:rPr>
        <w:t>El proyecto generará 9.000 empleos directos y 6.000 empleos indirectos; se estima que mueva 130.000 pasajeros día cuando entre en operación en 2026.</w:t>
      </w:r>
    </w:p>
    <w:p w14:paraId="2670EA2F" w14:textId="77777777" w:rsidR="009362CD" w:rsidRPr="009362CD" w:rsidRDefault="009362CD" w:rsidP="009362CD">
      <w:pPr>
        <w:spacing w:line="276" w:lineRule="auto"/>
        <w:jc w:val="both"/>
        <w:rPr>
          <w:rFonts w:ascii="Arial" w:hAnsi="Arial" w:cs="Arial"/>
          <w:b/>
          <w:bCs/>
          <w:lang w:val="es-ES_tradnl"/>
        </w:rPr>
      </w:pPr>
      <w:r w:rsidRPr="009362CD">
        <w:rPr>
          <w:rFonts w:ascii="Arial" w:hAnsi="Arial" w:cs="Arial"/>
          <w:b/>
          <w:bCs/>
          <w:lang w:val="es-ES_tradnl"/>
        </w:rPr>
        <w:t>COFINANCIACIÓN DE OTROS PROYECTOS DE MOVILIDAD</w:t>
      </w:r>
    </w:p>
    <w:p w14:paraId="54D4C9FD" w14:textId="437215E1" w:rsidR="009362CD" w:rsidRPr="009362CD" w:rsidRDefault="009362CD" w:rsidP="009362CD">
      <w:pPr>
        <w:pStyle w:val="ListParagraph"/>
        <w:numPr>
          <w:ilvl w:val="0"/>
          <w:numId w:val="38"/>
        </w:numPr>
        <w:spacing w:line="276" w:lineRule="auto"/>
        <w:jc w:val="both"/>
        <w:rPr>
          <w:rFonts w:ascii="Arial" w:hAnsi="Arial" w:cs="Arial"/>
          <w:lang w:val="es-ES_tradnl"/>
        </w:rPr>
      </w:pPr>
      <w:r w:rsidRPr="009362CD">
        <w:rPr>
          <w:rFonts w:ascii="Arial" w:hAnsi="Arial" w:cs="Arial"/>
          <w:lang w:val="es-ES_tradnl"/>
        </w:rPr>
        <w:t xml:space="preserve">Se están destinando  USD988,5 millones (TRM promedio de 2021, que fue de $3.743) para cofinanciar el Metro Ligero de la Avenida 80 de Medellín, el Sistema Estratégico de Transporte Público de Ibagué y Tramo 3 de la Troncal Oriental del MIO en </w:t>
      </w:r>
      <w:r w:rsidR="00E12C11">
        <w:rPr>
          <w:rFonts w:ascii="Arial" w:hAnsi="Arial" w:cs="Arial"/>
          <w:lang w:val="es-ES_tradnl"/>
        </w:rPr>
        <w:t xml:space="preserve">la ciudad de </w:t>
      </w:r>
      <w:r w:rsidRPr="009362CD">
        <w:rPr>
          <w:rFonts w:ascii="Arial" w:hAnsi="Arial" w:cs="Arial"/>
          <w:lang w:val="es-ES_tradnl"/>
        </w:rPr>
        <w:t>Cali.</w:t>
      </w:r>
    </w:p>
    <w:p w14:paraId="0255E29B" w14:textId="77777777" w:rsidR="00251A2F" w:rsidRPr="009362CD" w:rsidRDefault="00251A2F" w:rsidP="009362CD">
      <w:pPr>
        <w:spacing w:line="276" w:lineRule="auto"/>
        <w:jc w:val="both"/>
        <w:rPr>
          <w:rFonts w:ascii="Arial" w:hAnsi="Arial" w:cs="Arial"/>
          <w:lang w:val="es-ES_tradnl"/>
        </w:rPr>
      </w:pPr>
    </w:p>
    <w:sectPr w:rsidR="00251A2F" w:rsidRPr="009362CD" w:rsidSect="002F050B">
      <w:footerReference w:type="even" r:id="rId8"/>
      <w:foot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DE6C" w14:textId="77777777" w:rsidR="00392731" w:rsidRDefault="00392731" w:rsidP="002F050B">
      <w:pPr>
        <w:spacing w:after="0" w:line="240" w:lineRule="auto"/>
      </w:pPr>
      <w:r>
        <w:separator/>
      </w:r>
    </w:p>
  </w:endnote>
  <w:endnote w:type="continuationSeparator" w:id="0">
    <w:p w14:paraId="17FBA738" w14:textId="77777777" w:rsidR="00392731" w:rsidRDefault="00392731" w:rsidP="002F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6124939"/>
      <w:docPartObj>
        <w:docPartGallery w:val="Page Numbers (Bottom of Page)"/>
        <w:docPartUnique/>
      </w:docPartObj>
    </w:sdtPr>
    <w:sdtEndPr>
      <w:rPr>
        <w:rStyle w:val="PageNumber"/>
      </w:rPr>
    </w:sdtEndPr>
    <w:sdtContent>
      <w:p w14:paraId="5B88074E" w14:textId="77777777" w:rsidR="00F17D4D" w:rsidRDefault="00F17D4D" w:rsidP="00193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D13D4" w14:textId="77777777" w:rsidR="00F17D4D" w:rsidRDefault="00F17D4D" w:rsidP="00F17D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8"/>
        <w:szCs w:val="28"/>
      </w:rPr>
      <w:id w:val="-593932836"/>
      <w:docPartObj>
        <w:docPartGallery w:val="Page Numbers (Bottom of Page)"/>
        <w:docPartUnique/>
      </w:docPartObj>
    </w:sdtPr>
    <w:sdtEndPr>
      <w:rPr>
        <w:rStyle w:val="PageNumber"/>
      </w:rPr>
    </w:sdtEndPr>
    <w:sdtContent>
      <w:p w14:paraId="45DBF42D" w14:textId="77777777" w:rsidR="00F17D4D" w:rsidRPr="00F17D4D" w:rsidRDefault="00F17D4D" w:rsidP="001933E0">
        <w:pPr>
          <w:pStyle w:val="Footer"/>
          <w:framePr w:wrap="none" w:vAnchor="text" w:hAnchor="margin" w:xAlign="right" w:y="1"/>
          <w:rPr>
            <w:rStyle w:val="PageNumber"/>
            <w:rFonts w:ascii="Arial" w:hAnsi="Arial" w:cs="Arial"/>
            <w:sz w:val="28"/>
            <w:szCs w:val="28"/>
          </w:rPr>
        </w:pPr>
        <w:r w:rsidRPr="00F17D4D">
          <w:rPr>
            <w:rStyle w:val="PageNumber"/>
            <w:rFonts w:ascii="Arial" w:hAnsi="Arial" w:cs="Arial"/>
            <w:sz w:val="28"/>
            <w:szCs w:val="28"/>
          </w:rPr>
          <w:fldChar w:fldCharType="begin"/>
        </w:r>
        <w:r w:rsidRPr="00F17D4D">
          <w:rPr>
            <w:rStyle w:val="PageNumber"/>
            <w:rFonts w:ascii="Arial" w:hAnsi="Arial" w:cs="Arial"/>
            <w:sz w:val="28"/>
            <w:szCs w:val="28"/>
          </w:rPr>
          <w:instrText xml:space="preserve"> PAGE </w:instrText>
        </w:r>
        <w:r w:rsidRPr="00F17D4D">
          <w:rPr>
            <w:rStyle w:val="PageNumber"/>
            <w:rFonts w:ascii="Arial" w:hAnsi="Arial" w:cs="Arial"/>
            <w:sz w:val="28"/>
            <w:szCs w:val="28"/>
          </w:rPr>
          <w:fldChar w:fldCharType="separate"/>
        </w:r>
        <w:r w:rsidR="00797E9D">
          <w:rPr>
            <w:rStyle w:val="PageNumber"/>
            <w:rFonts w:ascii="Arial" w:hAnsi="Arial" w:cs="Arial"/>
            <w:noProof/>
            <w:sz w:val="28"/>
            <w:szCs w:val="28"/>
          </w:rPr>
          <w:t>1</w:t>
        </w:r>
        <w:r w:rsidRPr="00F17D4D">
          <w:rPr>
            <w:rStyle w:val="PageNumber"/>
            <w:rFonts w:ascii="Arial" w:hAnsi="Arial" w:cs="Arial"/>
            <w:sz w:val="28"/>
            <w:szCs w:val="28"/>
          </w:rPr>
          <w:fldChar w:fldCharType="end"/>
        </w:r>
      </w:p>
    </w:sdtContent>
  </w:sdt>
  <w:p w14:paraId="223329D5" w14:textId="77777777" w:rsidR="00F17D4D" w:rsidRPr="00F17D4D" w:rsidRDefault="00F17D4D" w:rsidP="00F17D4D">
    <w:pPr>
      <w:pStyle w:val="Footer"/>
      <w:ind w:right="360"/>
      <w:rPr>
        <w:rFonts w:ascii="Arial" w:hAnsi="Arial" w:cs="Arial"/>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8D43" w14:textId="77777777" w:rsidR="00392731" w:rsidRDefault="00392731" w:rsidP="002F050B">
      <w:pPr>
        <w:spacing w:after="0" w:line="240" w:lineRule="auto"/>
      </w:pPr>
      <w:r>
        <w:separator/>
      </w:r>
    </w:p>
  </w:footnote>
  <w:footnote w:type="continuationSeparator" w:id="0">
    <w:p w14:paraId="4509530A" w14:textId="77777777" w:rsidR="00392731" w:rsidRDefault="00392731" w:rsidP="002F05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039"/>
    <w:multiLevelType w:val="hybridMultilevel"/>
    <w:tmpl w:val="38020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E35EFB"/>
    <w:multiLevelType w:val="hybridMultilevel"/>
    <w:tmpl w:val="DCEC041A"/>
    <w:lvl w:ilvl="0" w:tplc="80E679C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0470A0"/>
    <w:multiLevelType w:val="hybridMultilevel"/>
    <w:tmpl w:val="C97E6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6E78B0"/>
    <w:multiLevelType w:val="hybridMultilevel"/>
    <w:tmpl w:val="7AD49E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7B12F03"/>
    <w:multiLevelType w:val="hybridMultilevel"/>
    <w:tmpl w:val="65AA93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A5C1DF8"/>
    <w:multiLevelType w:val="hybridMultilevel"/>
    <w:tmpl w:val="F3E067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A8F516A"/>
    <w:multiLevelType w:val="hybridMultilevel"/>
    <w:tmpl w:val="284A091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0AF03FD4"/>
    <w:multiLevelType w:val="multilevel"/>
    <w:tmpl w:val="FE3874E8"/>
    <w:lvl w:ilvl="0">
      <w:start w:val="1"/>
      <w:numFmt w:val="decimal"/>
      <w:lvlText w:val="%1."/>
      <w:lvlJc w:val="left"/>
      <w:pPr>
        <w:ind w:left="360" w:hanging="360"/>
      </w:pPr>
      <w:rPr>
        <w:color w:val="2E74B5" w:themeColor="accent1" w:themeShade="BF"/>
      </w:rPr>
    </w:lvl>
    <w:lvl w:ilvl="1">
      <w:start w:val="1"/>
      <w:numFmt w:val="decimal"/>
      <w:lvlText w:val="%1.%2."/>
      <w:lvlJc w:val="left"/>
      <w:pPr>
        <w:ind w:left="792" w:hanging="432"/>
      </w:pPr>
      <w:rPr>
        <w:color w:val="2E74B5"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100580"/>
    <w:multiLevelType w:val="hybridMultilevel"/>
    <w:tmpl w:val="40BCE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0FF02CBE"/>
    <w:multiLevelType w:val="hybridMultilevel"/>
    <w:tmpl w:val="57B63D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3CF1191"/>
    <w:multiLevelType w:val="multilevel"/>
    <w:tmpl w:val="80A0F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88714E"/>
    <w:multiLevelType w:val="hybridMultilevel"/>
    <w:tmpl w:val="003A0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C6B76B7"/>
    <w:multiLevelType w:val="hybridMultilevel"/>
    <w:tmpl w:val="207A4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C8B3D99"/>
    <w:multiLevelType w:val="hybridMultilevel"/>
    <w:tmpl w:val="A802D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1B5B3F"/>
    <w:multiLevelType w:val="hybridMultilevel"/>
    <w:tmpl w:val="B08C76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8CF36B9"/>
    <w:multiLevelType w:val="hybridMultilevel"/>
    <w:tmpl w:val="279A81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C6302CA"/>
    <w:multiLevelType w:val="hybridMultilevel"/>
    <w:tmpl w:val="1632C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24673E0"/>
    <w:multiLevelType w:val="hybridMultilevel"/>
    <w:tmpl w:val="47FAC21C"/>
    <w:lvl w:ilvl="0" w:tplc="80E679C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DE571D"/>
    <w:multiLevelType w:val="hybridMultilevel"/>
    <w:tmpl w:val="7F0EDE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8DA1C5E"/>
    <w:multiLevelType w:val="hybridMultilevel"/>
    <w:tmpl w:val="0B749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A9625CB"/>
    <w:multiLevelType w:val="hybridMultilevel"/>
    <w:tmpl w:val="08DE80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B455116"/>
    <w:multiLevelType w:val="hybridMultilevel"/>
    <w:tmpl w:val="DD161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DCE0CB5"/>
    <w:multiLevelType w:val="hybridMultilevel"/>
    <w:tmpl w:val="6EC286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35F1FBA"/>
    <w:multiLevelType w:val="hybridMultilevel"/>
    <w:tmpl w:val="CC1E24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3693D35"/>
    <w:multiLevelType w:val="hybridMultilevel"/>
    <w:tmpl w:val="C4B011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6C16D5D"/>
    <w:multiLevelType w:val="hybridMultilevel"/>
    <w:tmpl w:val="AB78CF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E5351D4"/>
    <w:multiLevelType w:val="hybridMultilevel"/>
    <w:tmpl w:val="D0141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451347A"/>
    <w:multiLevelType w:val="hybridMultilevel"/>
    <w:tmpl w:val="C4BA9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424662"/>
    <w:multiLevelType w:val="hybridMultilevel"/>
    <w:tmpl w:val="E2C8C0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E0921B2"/>
    <w:multiLevelType w:val="hybridMultilevel"/>
    <w:tmpl w:val="B04029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7246F14"/>
    <w:multiLevelType w:val="hybridMultilevel"/>
    <w:tmpl w:val="64BABF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98D64D3"/>
    <w:multiLevelType w:val="hybridMultilevel"/>
    <w:tmpl w:val="6AAEED5C"/>
    <w:lvl w:ilvl="0" w:tplc="97F873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D3373DF"/>
    <w:multiLevelType w:val="hybridMultilevel"/>
    <w:tmpl w:val="169A5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4"/>
  </w:num>
  <w:num w:numId="4">
    <w:abstractNumId w:val="31"/>
  </w:num>
  <w:num w:numId="5">
    <w:abstractNumId w:val="16"/>
  </w:num>
  <w:num w:numId="6">
    <w:abstractNumId w:val="2"/>
  </w:num>
  <w:num w:numId="7">
    <w:abstractNumId w:val="32"/>
  </w:num>
  <w:num w:numId="8">
    <w:abstractNumId w:val="27"/>
  </w:num>
  <w:num w:numId="9">
    <w:abstractNumId w:val="26"/>
  </w:num>
  <w:num w:numId="10">
    <w:abstractNumId w:val="6"/>
  </w:num>
  <w:num w:numId="11">
    <w:abstractNumId w:val="13"/>
  </w:num>
  <w:num w:numId="12">
    <w:abstractNumId w:val="12"/>
  </w:num>
  <w:num w:numId="13">
    <w:abstractNumId w:val="0"/>
  </w:num>
  <w:num w:numId="14">
    <w:abstractNumId w:val="19"/>
  </w:num>
  <w:num w:numId="15">
    <w:abstractNumId w:val="1"/>
  </w:num>
  <w:num w:numId="16">
    <w:abstractNumId w:val="17"/>
  </w:num>
  <w:num w:numId="17">
    <w:abstractNumId w:val="8"/>
  </w:num>
  <w:num w:numId="18">
    <w:abstractNumId w:val="30"/>
  </w:num>
  <w:num w:numId="19">
    <w:abstractNumId w:val="23"/>
  </w:num>
  <w:num w:numId="20">
    <w:abstractNumId w:val="25"/>
  </w:num>
  <w:num w:numId="21">
    <w:abstractNumId w:val="7"/>
  </w:num>
  <w:num w:numId="22">
    <w:abstractNumId w:val="3"/>
  </w:num>
  <w:num w:numId="23">
    <w:abstractNumId w:val="22"/>
  </w:num>
  <w:num w:numId="24">
    <w:abstractNumId w:val="20"/>
  </w:num>
  <w:num w:numId="25">
    <w:abstractNumId w:val="10"/>
  </w:num>
  <w:num w:numId="26">
    <w:abstractNumId w:val="10"/>
  </w:num>
  <w:num w:numId="27">
    <w:abstractNumId w:val="10"/>
  </w:num>
  <w:num w:numId="28">
    <w:abstractNumId w:val="10"/>
  </w:num>
  <w:num w:numId="29">
    <w:abstractNumId w:val="10"/>
  </w:num>
  <w:num w:numId="30">
    <w:abstractNumId w:val="5"/>
  </w:num>
  <w:num w:numId="31">
    <w:abstractNumId w:val="11"/>
  </w:num>
  <w:num w:numId="32">
    <w:abstractNumId w:val="14"/>
  </w:num>
  <w:num w:numId="33">
    <w:abstractNumId w:val="29"/>
  </w:num>
  <w:num w:numId="34">
    <w:abstractNumId w:val="4"/>
  </w:num>
  <w:num w:numId="35">
    <w:abstractNumId w:val="21"/>
  </w:num>
  <w:num w:numId="36">
    <w:abstractNumId w:val="18"/>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34"/>
    <w:rsid w:val="00017069"/>
    <w:rsid w:val="00043F67"/>
    <w:rsid w:val="000F7EAC"/>
    <w:rsid w:val="00100B95"/>
    <w:rsid w:val="00133E9A"/>
    <w:rsid w:val="001E43C1"/>
    <w:rsid w:val="00251A2F"/>
    <w:rsid w:val="002A1B5C"/>
    <w:rsid w:val="002E716A"/>
    <w:rsid w:val="002F050B"/>
    <w:rsid w:val="00377155"/>
    <w:rsid w:val="00392731"/>
    <w:rsid w:val="00392DDE"/>
    <w:rsid w:val="003D31D7"/>
    <w:rsid w:val="003E1462"/>
    <w:rsid w:val="00464C3F"/>
    <w:rsid w:val="004708A9"/>
    <w:rsid w:val="0047510D"/>
    <w:rsid w:val="004E109F"/>
    <w:rsid w:val="004F0332"/>
    <w:rsid w:val="004F7217"/>
    <w:rsid w:val="0052416F"/>
    <w:rsid w:val="00531ACE"/>
    <w:rsid w:val="0054785A"/>
    <w:rsid w:val="00584933"/>
    <w:rsid w:val="005943D1"/>
    <w:rsid w:val="005D2C81"/>
    <w:rsid w:val="005E5911"/>
    <w:rsid w:val="006313E5"/>
    <w:rsid w:val="00640463"/>
    <w:rsid w:val="00654418"/>
    <w:rsid w:val="00654900"/>
    <w:rsid w:val="006926EB"/>
    <w:rsid w:val="006C439F"/>
    <w:rsid w:val="00730876"/>
    <w:rsid w:val="007374F0"/>
    <w:rsid w:val="0076377E"/>
    <w:rsid w:val="00797E9D"/>
    <w:rsid w:val="008302B7"/>
    <w:rsid w:val="00886CB0"/>
    <w:rsid w:val="008A1301"/>
    <w:rsid w:val="008E0BA1"/>
    <w:rsid w:val="008E497A"/>
    <w:rsid w:val="00920E88"/>
    <w:rsid w:val="009362CD"/>
    <w:rsid w:val="009C32A2"/>
    <w:rsid w:val="009D419B"/>
    <w:rsid w:val="00A2360C"/>
    <w:rsid w:val="00A36B85"/>
    <w:rsid w:val="00AA115E"/>
    <w:rsid w:val="00AC42D0"/>
    <w:rsid w:val="00AE3B4F"/>
    <w:rsid w:val="00B0418F"/>
    <w:rsid w:val="00B56767"/>
    <w:rsid w:val="00B7779A"/>
    <w:rsid w:val="00BC1673"/>
    <w:rsid w:val="00C50A0C"/>
    <w:rsid w:val="00C5192F"/>
    <w:rsid w:val="00C57F34"/>
    <w:rsid w:val="00CB020F"/>
    <w:rsid w:val="00CC36E0"/>
    <w:rsid w:val="00CF385A"/>
    <w:rsid w:val="00CF4323"/>
    <w:rsid w:val="00D41BD6"/>
    <w:rsid w:val="00D726BD"/>
    <w:rsid w:val="00D97076"/>
    <w:rsid w:val="00E12C11"/>
    <w:rsid w:val="00E53A1F"/>
    <w:rsid w:val="00E65A53"/>
    <w:rsid w:val="00EA0D5E"/>
    <w:rsid w:val="00EC0F8B"/>
    <w:rsid w:val="00EE7DD2"/>
    <w:rsid w:val="00F17D4D"/>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032A"/>
  <w15:chartTrackingRefBased/>
  <w15:docId w15:val="{4C4165FB-CF08-4C93-82D3-C79A1342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C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51A2F"/>
    <w:pPr>
      <w:keepNext/>
      <w:keepLines/>
      <w:spacing w:before="40" w:after="0" w:line="276" w:lineRule="auto"/>
      <w:ind w:left="360" w:hanging="360"/>
      <w:jc w:val="both"/>
      <w:outlineLvl w:val="1"/>
    </w:pPr>
    <w:rPr>
      <w:rFonts w:asciiTheme="majorHAnsi" w:eastAsiaTheme="majorEastAsia" w:hAnsiTheme="majorHAnsi" w:cstheme="majorBidi"/>
      <w:b/>
      <w:bCs/>
      <w:sz w:val="24"/>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бrrafo de lista,titulo 5,Bolita,parrafo,BOLADEF,BOLA,HOJA,Colorful List Accent 1,Colorful List - Accent 11,Lista multicolor - Énfasis 11,Guión,Titulo 8,Viñeta 2,Viñeta 6,chulo,MIBEX B,Bola,BOLITA,Viñeta,Párrafo encimadas"/>
    <w:basedOn w:val="Normal"/>
    <w:link w:val="ListParagraphChar"/>
    <w:uiPriority w:val="34"/>
    <w:qFormat/>
    <w:rsid w:val="00C57F34"/>
    <w:pPr>
      <w:ind w:left="720"/>
      <w:contextualSpacing/>
    </w:pPr>
  </w:style>
  <w:style w:type="character" w:customStyle="1" w:styleId="Heading2Char">
    <w:name w:val="Heading 2 Char"/>
    <w:basedOn w:val="DefaultParagraphFont"/>
    <w:link w:val="Heading2"/>
    <w:uiPriority w:val="9"/>
    <w:rsid w:val="00251A2F"/>
    <w:rPr>
      <w:rFonts w:asciiTheme="majorHAnsi" w:eastAsiaTheme="majorEastAsia" w:hAnsiTheme="majorHAnsi" w:cstheme="majorBidi"/>
      <w:b/>
      <w:bCs/>
      <w:sz w:val="24"/>
      <w:szCs w:val="26"/>
      <w:lang w:val="es-ES_tradnl"/>
    </w:rPr>
  </w:style>
  <w:style w:type="character" w:customStyle="1" w:styleId="ListParagraphChar">
    <w:name w:val="List Paragraph Char"/>
    <w:aliases w:val="Pбrrafo de lista Char,titulo 5 Char,Bolita Char,parrafo Char,BOLADEF Char,BOLA Char,HOJA Char,Colorful List Accent 1 Char,Colorful List - Accent 11 Char,Lista multicolor - Énfasis 11 Char,Guión Char,Titulo 8 Char,Viñeta 2 Char"/>
    <w:link w:val="ListParagraph"/>
    <w:uiPriority w:val="34"/>
    <w:qFormat/>
    <w:locked/>
    <w:rsid w:val="00C57F34"/>
  </w:style>
  <w:style w:type="character" w:styleId="CommentReference">
    <w:name w:val="annotation reference"/>
    <w:basedOn w:val="DefaultParagraphFont"/>
    <w:uiPriority w:val="99"/>
    <w:semiHidden/>
    <w:unhideWhenUsed/>
    <w:rsid w:val="003E1462"/>
    <w:rPr>
      <w:sz w:val="16"/>
      <w:szCs w:val="16"/>
    </w:rPr>
  </w:style>
  <w:style w:type="paragraph" w:styleId="Header">
    <w:name w:val="header"/>
    <w:basedOn w:val="Normal"/>
    <w:link w:val="HeaderChar"/>
    <w:uiPriority w:val="99"/>
    <w:unhideWhenUsed/>
    <w:rsid w:val="002F05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2F050B"/>
  </w:style>
  <w:style w:type="paragraph" w:styleId="Footer">
    <w:name w:val="footer"/>
    <w:basedOn w:val="Normal"/>
    <w:link w:val="FooterChar"/>
    <w:uiPriority w:val="99"/>
    <w:unhideWhenUsed/>
    <w:rsid w:val="002F05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2F050B"/>
  </w:style>
  <w:style w:type="character" w:customStyle="1" w:styleId="Heading1Char">
    <w:name w:val="Heading 1 Char"/>
    <w:basedOn w:val="DefaultParagraphFont"/>
    <w:link w:val="Heading1"/>
    <w:uiPriority w:val="9"/>
    <w:rsid w:val="00886CB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8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17D4D"/>
  </w:style>
  <w:style w:type="paragraph" w:styleId="TOCHeading">
    <w:name w:val="TOC Heading"/>
    <w:basedOn w:val="Heading1"/>
    <w:next w:val="Normal"/>
    <w:uiPriority w:val="39"/>
    <w:unhideWhenUsed/>
    <w:qFormat/>
    <w:rsid w:val="00377155"/>
    <w:pPr>
      <w:spacing w:before="480" w:line="276" w:lineRule="auto"/>
      <w:outlineLvl w:val="9"/>
    </w:pPr>
    <w:rPr>
      <w:b/>
      <w:bCs/>
      <w:sz w:val="28"/>
      <w:szCs w:val="28"/>
      <w:lang w:eastAsia="es-ES_tradnl"/>
    </w:rPr>
  </w:style>
  <w:style w:type="paragraph" w:styleId="TOC2">
    <w:name w:val="toc 2"/>
    <w:basedOn w:val="Normal"/>
    <w:next w:val="Normal"/>
    <w:autoRedefine/>
    <w:uiPriority w:val="39"/>
    <w:unhideWhenUsed/>
    <w:rsid w:val="00377155"/>
    <w:pPr>
      <w:spacing w:before="120" w:after="0"/>
      <w:ind w:left="220"/>
    </w:pPr>
    <w:rPr>
      <w:rFonts w:cstheme="minorHAnsi"/>
      <w:b/>
      <w:bCs/>
    </w:rPr>
  </w:style>
  <w:style w:type="character" w:styleId="Hyperlink">
    <w:name w:val="Hyperlink"/>
    <w:basedOn w:val="DefaultParagraphFont"/>
    <w:uiPriority w:val="99"/>
    <w:unhideWhenUsed/>
    <w:rsid w:val="00377155"/>
    <w:rPr>
      <w:color w:val="0563C1" w:themeColor="hyperlink"/>
      <w:u w:val="single"/>
    </w:rPr>
  </w:style>
  <w:style w:type="paragraph" w:styleId="TOC1">
    <w:name w:val="toc 1"/>
    <w:basedOn w:val="Normal"/>
    <w:next w:val="Normal"/>
    <w:autoRedefine/>
    <w:uiPriority w:val="39"/>
    <w:semiHidden/>
    <w:unhideWhenUsed/>
    <w:rsid w:val="00377155"/>
    <w:pPr>
      <w:spacing w:before="120" w:after="0"/>
    </w:pPr>
    <w:rPr>
      <w:rFonts w:cstheme="minorHAnsi"/>
      <w:b/>
      <w:bCs/>
      <w:i/>
      <w:iCs/>
      <w:sz w:val="24"/>
      <w:szCs w:val="24"/>
    </w:rPr>
  </w:style>
  <w:style w:type="paragraph" w:styleId="TOC3">
    <w:name w:val="toc 3"/>
    <w:basedOn w:val="Normal"/>
    <w:next w:val="Normal"/>
    <w:autoRedefine/>
    <w:uiPriority w:val="39"/>
    <w:semiHidden/>
    <w:unhideWhenUsed/>
    <w:rsid w:val="00377155"/>
    <w:pPr>
      <w:spacing w:after="0"/>
      <w:ind w:left="440"/>
    </w:pPr>
    <w:rPr>
      <w:rFonts w:cstheme="minorHAnsi"/>
      <w:sz w:val="20"/>
      <w:szCs w:val="20"/>
    </w:rPr>
  </w:style>
  <w:style w:type="paragraph" w:styleId="TOC4">
    <w:name w:val="toc 4"/>
    <w:basedOn w:val="Normal"/>
    <w:next w:val="Normal"/>
    <w:autoRedefine/>
    <w:uiPriority w:val="39"/>
    <w:semiHidden/>
    <w:unhideWhenUsed/>
    <w:rsid w:val="00377155"/>
    <w:pPr>
      <w:spacing w:after="0"/>
      <w:ind w:left="660"/>
    </w:pPr>
    <w:rPr>
      <w:rFonts w:cstheme="minorHAnsi"/>
      <w:sz w:val="20"/>
      <w:szCs w:val="20"/>
    </w:rPr>
  </w:style>
  <w:style w:type="paragraph" w:styleId="TOC5">
    <w:name w:val="toc 5"/>
    <w:basedOn w:val="Normal"/>
    <w:next w:val="Normal"/>
    <w:autoRedefine/>
    <w:uiPriority w:val="39"/>
    <w:semiHidden/>
    <w:unhideWhenUsed/>
    <w:rsid w:val="00377155"/>
    <w:pPr>
      <w:spacing w:after="0"/>
      <w:ind w:left="880"/>
    </w:pPr>
    <w:rPr>
      <w:rFonts w:cstheme="minorHAnsi"/>
      <w:sz w:val="20"/>
      <w:szCs w:val="20"/>
    </w:rPr>
  </w:style>
  <w:style w:type="paragraph" w:styleId="TOC6">
    <w:name w:val="toc 6"/>
    <w:basedOn w:val="Normal"/>
    <w:next w:val="Normal"/>
    <w:autoRedefine/>
    <w:uiPriority w:val="39"/>
    <w:semiHidden/>
    <w:unhideWhenUsed/>
    <w:rsid w:val="00377155"/>
    <w:pPr>
      <w:spacing w:after="0"/>
      <w:ind w:left="1100"/>
    </w:pPr>
    <w:rPr>
      <w:rFonts w:cstheme="minorHAnsi"/>
      <w:sz w:val="20"/>
      <w:szCs w:val="20"/>
    </w:rPr>
  </w:style>
  <w:style w:type="paragraph" w:styleId="TOC7">
    <w:name w:val="toc 7"/>
    <w:basedOn w:val="Normal"/>
    <w:next w:val="Normal"/>
    <w:autoRedefine/>
    <w:uiPriority w:val="39"/>
    <w:semiHidden/>
    <w:unhideWhenUsed/>
    <w:rsid w:val="00377155"/>
    <w:pPr>
      <w:spacing w:after="0"/>
      <w:ind w:left="1320"/>
    </w:pPr>
    <w:rPr>
      <w:rFonts w:cstheme="minorHAnsi"/>
      <w:sz w:val="20"/>
      <w:szCs w:val="20"/>
    </w:rPr>
  </w:style>
  <w:style w:type="paragraph" w:styleId="TOC8">
    <w:name w:val="toc 8"/>
    <w:basedOn w:val="Normal"/>
    <w:next w:val="Normal"/>
    <w:autoRedefine/>
    <w:uiPriority w:val="39"/>
    <w:semiHidden/>
    <w:unhideWhenUsed/>
    <w:rsid w:val="00377155"/>
    <w:pPr>
      <w:spacing w:after="0"/>
      <w:ind w:left="1540"/>
    </w:pPr>
    <w:rPr>
      <w:rFonts w:cstheme="minorHAnsi"/>
      <w:sz w:val="20"/>
      <w:szCs w:val="20"/>
    </w:rPr>
  </w:style>
  <w:style w:type="paragraph" w:styleId="TOC9">
    <w:name w:val="toc 9"/>
    <w:basedOn w:val="Normal"/>
    <w:next w:val="Normal"/>
    <w:autoRedefine/>
    <w:uiPriority w:val="39"/>
    <w:semiHidden/>
    <w:unhideWhenUsed/>
    <w:rsid w:val="00377155"/>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1">
      <w:bodyDiv w:val="1"/>
      <w:marLeft w:val="0"/>
      <w:marRight w:val="0"/>
      <w:marTop w:val="0"/>
      <w:marBottom w:val="0"/>
      <w:divBdr>
        <w:top w:val="none" w:sz="0" w:space="0" w:color="auto"/>
        <w:left w:val="none" w:sz="0" w:space="0" w:color="auto"/>
        <w:bottom w:val="none" w:sz="0" w:space="0" w:color="auto"/>
        <w:right w:val="none" w:sz="0" w:space="0" w:color="auto"/>
      </w:divBdr>
    </w:div>
    <w:div w:id="31155993">
      <w:bodyDiv w:val="1"/>
      <w:marLeft w:val="0"/>
      <w:marRight w:val="0"/>
      <w:marTop w:val="0"/>
      <w:marBottom w:val="0"/>
      <w:divBdr>
        <w:top w:val="none" w:sz="0" w:space="0" w:color="auto"/>
        <w:left w:val="none" w:sz="0" w:space="0" w:color="auto"/>
        <w:bottom w:val="none" w:sz="0" w:space="0" w:color="auto"/>
        <w:right w:val="none" w:sz="0" w:space="0" w:color="auto"/>
      </w:divBdr>
      <w:divsChild>
        <w:div w:id="14039165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6482795">
      <w:bodyDiv w:val="1"/>
      <w:marLeft w:val="0"/>
      <w:marRight w:val="0"/>
      <w:marTop w:val="0"/>
      <w:marBottom w:val="0"/>
      <w:divBdr>
        <w:top w:val="none" w:sz="0" w:space="0" w:color="auto"/>
        <w:left w:val="none" w:sz="0" w:space="0" w:color="auto"/>
        <w:bottom w:val="none" w:sz="0" w:space="0" w:color="auto"/>
        <w:right w:val="none" w:sz="0" w:space="0" w:color="auto"/>
      </w:divBdr>
    </w:div>
    <w:div w:id="150370985">
      <w:bodyDiv w:val="1"/>
      <w:marLeft w:val="0"/>
      <w:marRight w:val="0"/>
      <w:marTop w:val="0"/>
      <w:marBottom w:val="0"/>
      <w:divBdr>
        <w:top w:val="none" w:sz="0" w:space="0" w:color="auto"/>
        <w:left w:val="none" w:sz="0" w:space="0" w:color="auto"/>
        <w:bottom w:val="none" w:sz="0" w:space="0" w:color="auto"/>
        <w:right w:val="none" w:sz="0" w:space="0" w:color="auto"/>
      </w:divBdr>
    </w:div>
    <w:div w:id="181212240">
      <w:bodyDiv w:val="1"/>
      <w:marLeft w:val="0"/>
      <w:marRight w:val="0"/>
      <w:marTop w:val="0"/>
      <w:marBottom w:val="0"/>
      <w:divBdr>
        <w:top w:val="none" w:sz="0" w:space="0" w:color="auto"/>
        <w:left w:val="none" w:sz="0" w:space="0" w:color="auto"/>
        <w:bottom w:val="none" w:sz="0" w:space="0" w:color="auto"/>
        <w:right w:val="none" w:sz="0" w:space="0" w:color="auto"/>
      </w:divBdr>
      <w:divsChild>
        <w:div w:id="608128364">
          <w:marLeft w:val="0"/>
          <w:marRight w:val="0"/>
          <w:marTop w:val="0"/>
          <w:marBottom w:val="0"/>
          <w:divBdr>
            <w:top w:val="none" w:sz="0" w:space="0" w:color="auto"/>
            <w:left w:val="none" w:sz="0" w:space="0" w:color="auto"/>
            <w:bottom w:val="none" w:sz="0" w:space="0" w:color="auto"/>
            <w:right w:val="none" w:sz="0" w:space="0" w:color="auto"/>
          </w:divBdr>
          <w:divsChild>
            <w:div w:id="1401948790">
              <w:marLeft w:val="0"/>
              <w:marRight w:val="0"/>
              <w:marTop w:val="0"/>
              <w:marBottom w:val="0"/>
              <w:divBdr>
                <w:top w:val="none" w:sz="0" w:space="0" w:color="auto"/>
                <w:left w:val="none" w:sz="0" w:space="0" w:color="auto"/>
                <w:bottom w:val="none" w:sz="0" w:space="0" w:color="auto"/>
                <w:right w:val="none" w:sz="0" w:space="0" w:color="auto"/>
              </w:divBdr>
              <w:divsChild>
                <w:div w:id="115951253">
                  <w:marLeft w:val="0"/>
                  <w:marRight w:val="0"/>
                  <w:marTop w:val="0"/>
                  <w:marBottom w:val="0"/>
                  <w:divBdr>
                    <w:top w:val="none" w:sz="0" w:space="0" w:color="auto"/>
                    <w:left w:val="none" w:sz="0" w:space="0" w:color="auto"/>
                    <w:bottom w:val="none" w:sz="0" w:space="0" w:color="auto"/>
                    <w:right w:val="none" w:sz="0" w:space="0" w:color="auto"/>
                  </w:divBdr>
                </w:div>
              </w:divsChild>
            </w:div>
            <w:div w:id="2014184549">
              <w:marLeft w:val="0"/>
              <w:marRight w:val="0"/>
              <w:marTop w:val="0"/>
              <w:marBottom w:val="0"/>
              <w:divBdr>
                <w:top w:val="none" w:sz="0" w:space="0" w:color="auto"/>
                <w:left w:val="none" w:sz="0" w:space="0" w:color="auto"/>
                <w:bottom w:val="none" w:sz="0" w:space="0" w:color="auto"/>
                <w:right w:val="none" w:sz="0" w:space="0" w:color="auto"/>
              </w:divBdr>
              <w:divsChild>
                <w:div w:id="16781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045">
          <w:marLeft w:val="0"/>
          <w:marRight w:val="0"/>
          <w:marTop w:val="0"/>
          <w:marBottom w:val="0"/>
          <w:divBdr>
            <w:top w:val="none" w:sz="0" w:space="0" w:color="auto"/>
            <w:left w:val="none" w:sz="0" w:space="0" w:color="auto"/>
            <w:bottom w:val="none" w:sz="0" w:space="0" w:color="auto"/>
            <w:right w:val="none" w:sz="0" w:space="0" w:color="auto"/>
          </w:divBdr>
          <w:divsChild>
            <w:div w:id="745226413">
              <w:marLeft w:val="0"/>
              <w:marRight w:val="0"/>
              <w:marTop w:val="0"/>
              <w:marBottom w:val="0"/>
              <w:divBdr>
                <w:top w:val="none" w:sz="0" w:space="0" w:color="auto"/>
                <w:left w:val="none" w:sz="0" w:space="0" w:color="auto"/>
                <w:bottom w:val="none" w:sz="0" w:space="0" w:color="auto"/>
                <w:right w:val="none" w:sz="0" w:space="0" w:color="auto"/>
              </w:divBdr>
              <w:divsChild>
                <w:div w:id="1981690264">
                  <w:marLeft w:val="0"/>
                  <w:marRight w:val="0"/>
                  <w:marTop w:val="0"/>
                  <w:marBottom w:val="0"/>
                  <w:divBdr>
                    <w:top w:val="none" w:sz="0" w:space="0" w:color="auto"/>
                    <w:left w:val="none" w:sz="0" w:space="0" w:color="auto"/>
                    <w:bottom w:val="none" w:sz="0" w:space="0" w:color="auto"/>
                    <w:right w:val="none" w:sz="0" w:space="0" w:color="auto"/>
                  </w:divBdr>
                </w:div>
              </w:divsChild>
            </w:div>
            <w:div w:id="1576552279">
              <w:marLeft w:val="0"/>
              <w:marRight w:val="0"/>
              <w:marTop w:val="0"/>
              <w:marBottom w:val="0"/>
              <w:divBdr>
                <w:top w:val="none" w:sz="0" w:space="0" w:color="auto"/>
                <w:left w:val="none" w:sz="0" w:space="0" w:color="auto"/>
                <w:bottom w:val="none" w:sz="0" w:space="0" w:color="auto"/>
                <w:right w:val="none" w:sz="0" w:space="0" w:color="auto"/>
              </w:divBdr>
              <w:divsChild>
                <w:div w:id="9589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53">
          <w:marLeft w:val="0"/>
          <w:marRight w:val="0"/>
          <w:marTop w:val="0"/>
          <w:marBottom w:val="0"/>
          <w:divBdr>
            <w:top w:val="none" w:sz="0" w:space="0" w:color="auto"/>
            <w:left w:val="none" w:sz="0" w:space="0" w:color="auto"/>
            <w:bottom w:val="none" w:sz="0" w:space="0" w:color="auto"/>
            <w:right w:val="none" w:sz="0" w:space="0" w:color="auto"/>
          </w:divBdr>
          <w:divsChild>
            <w:div w:id="1433279941">
              <w:marLeft w:val="0"/>
              <w:marRight w:val="0"/>
              <w:marTop w:val="0"/>
              <w:marBottom w:val="0"/>
              <w:divBdr>
                <w:top w:val="none" w:sz="0" w:space="0" w:color="auto"/>
                <w:left w:val="none" w:sz="0" w:space="0" w:color="auto"/>
                <w:bottom w:val="none" w:sz="0" w:space="0" w:color="auto"/>
                <w:right w:val="none" w:sz="0" w:space="0" w:color="auto"/>
              </w:divBdr>
              <w:divsChild>
                <w:div w:id="1255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3848">
      <w:bodyDiv w:val="1"/>
      <w:marLeft w:val="0"/>
      <w:marRight w:val="0"/>
      <w:marTop w:val="0"/>
      <w:marBottom w:val="0"/>
      <w:divBdr>
        <w:top w:val="none" w:sz="0" w:space="0" w:color="auto"/>
        <w:left w:val="none" w:sz="0" w:space="0" w:color="auto"/>
        <w:bottom w:val="none" w:sz="0" w:space="0" w:color="auto"/>
        <w:right w:val="none" w:sz="0" w:space="0" w:color="auto"/>
      </w:divBdr>
    </w:div>
    <w:div w:id="225724061">
      <w:bodyDiv w:val="1"/>
      <w:marLeft w:val="0"/>
      <w:marRight w:val="0"/>
      <w:marTop w:val="0"/>
      <w:marBottom w:val="0"/>
      <w:divBdr>
        <w:top w:val="none" w:sz="0" w:space="0" w:color="auto"/>
        <w:left w:val="none" w:sz="0" w:space="0" w:color="auto"/>
        <w:bottom w:val="none" w:sz="0" w:space="0" w:color="auto"/>
        <w:right w:val="none" w:sz="0" w:space="0" w:color="auto"/>
      </w:divBdr>
      <w:divsChild>
        <w:div w:id="378944446">
          <w:marLeft w:val="0"/>
          <w:marRight w:val="0"/>
          <w:marTop w:val="0"/>
          <w:marBottom w:val="0"/>
          <w:divBdr>
            <w:top w:val="none" w:sz="0" w:space="0" w:color="auto"/>
            <w:left w:val="none" w:sz="0" w:space="0" w:color="auto"/>
            <w:bottom w:val="none" w:sz="0" w:space="0" w:color="auto"/>
            <w:right w:val="none" w:sz="0" w:space="0" w:color="auto"/>
          </w:divBdr>
          <w:divsChild>
            <w:div w:id="220409269">
              <w:marLeft w:val="0"/>
              <w:marRight w:val="0"/>
              <w:marTop w:val="0"/>
              <w:marBottom w:val="0"/>
              <w:divBdr>
                <w:top w:val="none" w:sz="0" w:space="0" w:color="auto"/>
                <w:left w:val="none" w:sz="0" w:space="0" w:color="auto"/>
                <w:bottom w:val="none" w:sz="0" w:space="0" w:color="auto"/>
                <w:right w:val="none" w:sz="0" w:space="0" w:color="auto"/>
              </w:divBdr>
              <w:divsChild>
                <w:div w:id="1148206471">
                  <w:marLeft w:val="0"/>
                  <w:marRight w:val="0"/>
                  <w:marTop w:val="0"/>
                  <w:marBottom w:val="0"/>
                  <w:divBdr>
                    <w:top w:val="none" w:sz="0" w:space="0" w:color="auto"/>
                    <w:left w:val="none" w:sz="0" w:space="0" w:color="auto"/>
                    <w:bottom w:val="none" w:sz="0" w:space="0" w:color="auto"/>
                    <w:right w:val="none" w:sz="0" w:space="0" w:color="auto"/>
                  </w:divBdr>
                  <w:divsChild>
                    <w:div w:id="2112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93171">
      <w:bodyDiv w:val="1"/>
      <w:marLeft w:val="0"/>
      <w:marRight w:val="0"/>
      <w:marTop w:val="0"/>
      <w:marBottom w:val="0"/>
      <w:divBdr>
        <w:top w:val="none" w:sz="0" w:space="0" w:color="auto"/>
        <w:left w:val="none" w:sz="0" w:space="0" w:color="auto"/>
        <w:bottom w:val="none" w:sz="0" w:space="0" w:color="auto"/>
        <w:right w:val="none" w:sz="0" w:space="0" w:color="auto"/>
      </w:divBdr>
    </w:div>
    <w:div w:id="266734808">
      <w:bodyDiv w:val="1"/>
      <w:marLeft w:val="0"/>
      <w:marRight w:val="0"/>
      <w:marTop w:val="0"/>
      <w:marBottom w:val="0"/>
      <w:divBdr>
        <w:top w:val="none" w:sz="0" w:space="0" w:color="auto"/>
        <w:left w:val="none" w:sz="0" w:space="0" w:color="auto"/>
        <w:bottom w:val="none" w:sz="0" w:space="0" w:color="auto"/>
        <w:right w:val="none" w:sz="0" w:space="0" w:color="auto"/>
      </w:divBdr>
      <w:divsChild>
        <w:div w:id="645403833">
          <w:marLeft w:val="0"/>
          <w:marRight w:val="0"/>
          <w:marTop w:val="0"/>
          <w:marBottom w:val="0"/>
          <w:divBdr>
            <w:top w:val="none" w:sz="0" w:space="0" w:color="auto"/>
            <w:left w:val="none" w:sz="0" w:space="0" w:color="auto"/>
            <w:bottom w:val="none" w:sz="0" w:space="0" w:color="auto"/>
            <w:right w:val="none" w:sz="0" w:space="0" w:color="auto"/>
          </w:divBdr>
          <w:divsChild>
            <w:div w:id="1700400230">
              <w:marLeft w:val="0"/>
              <w:marRight w:val="0"/>
              <w:marTop w:val="0"/>
              <w:marBottom w:val="0"/>
              <w:divBdr>
                <w:top w:val="none" w:sz="0" w:space="0" w:color="auto"/>
                <w:left w:val="none" w:sz="0" w:space="0" w:color="auto"/>
                <w:bottom w:val="none" w:sz="0" w:space="0" w:color="auto"/>
                <w:right w:val="none" w:sz="0" w:space="0" w:color="auto"/>
              </w:divBdr>
              <w:divsChild>
                <w:div w:id="1045829776">
                  <w:marLeft w:val="0"/>
                  <w:marRight w:val="0"/>
                  <w:marTop w:val="0"/>
                  <w:marBottom w:val="0"/>
                  <w:divBdr>
                    <w:top w:val="none" w:sz="0" w:space="0" w:color="auto"/>
                    <w:left w:val="none" w:sz="0" w:space="0" w:color="auto"/>
                    <w:bottom w:val="none" w:sz="0" w:space="0" w:color="auto"/>
                    <w:right w:val="none" w:sz="0" w:space="0" w:color="auto"/>
                  </w:divBdr>
                  <w:divsChild>
                    <w:div w:id="6893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6039">
      <w:bodyDiv w:val="1"/>
      <w:marLeft w:val="0"/>
      <w:marRight w:val="0"/>
      <w:marTop w:val="0"/>
      <w:marBottom w:val="0"/>
      <w:divBdr>
        <w:top w:val="none" w:sz="0" w:space="0" w:color="auto"/>
        <w:left w:val="none" w:sz="0" w:space="0" w:color="auto"/>
        <w:bottom w:val="none" w:sz="0" w:space="0" w:color="auto"/>
        <w:right w:val="none" w:sz="0" w:space="0" w:color="auto"/>
      </w:divBdr>
    </w:div>
    <w:div w:id="367340320">
      <w:bodyDiv w:val="1"/>
      <w:marLeft w:val="0"/>
      <w:marRight w:val="0"/>
      <w:marTop w:val="0"/>
      <w:marBottom w:val="0"/>
      <w:divBdr>
        <w:top w:val="none" w:sz="0" w:space="0" w:color="auto"/>
        <w:left w:val="none" w:sz="0" w:space="0" w:color="auto"/>
        <w:bottom w:val="none" w:sz="0" w:space="0" w:color="auto"/>
        <w:right w:val="none" w:sz="0" w:space="0" w:color="auto"/>
      </w:divBdr>
    </w:div>
    <w:div w:id="412090437">
      <w:bodyDiv w:val="1"/>
      <w:marLeft w:val="0"/>
      <w:marRight w:val="0"/>
      <w:marTop w:val="0"/>
      <w:marBottom w:val="0"/>
      <w:divBdr>
        <w:top w:val="none" w:sz="0" w:space="0" w:color="auto"/>
        <w:left w:val="none" w:sz="0" w:space="0" w:color="auto"/>
        <w:bottom w:val="none" w:sz="0" w:space="0" w:color="auto"/>
        <w:right w:val="none" w:sz="0" w:space="0" w:color="auto"/>
      </w:divBdr>
    </w:div>
    <w:div w:id="428627193">
      <w:bodyDiv w:val="1"/>
      <w:marLeft w:val="0"/>
      <w:marRight w:val="0"/>
      <w:marTop w:val="0"/>
      <w:marBottom w:val="0"/>
      <w:divBdr>
        <w:top w:val="none" w:sz="0" w:space="0" w:color="auto"/>
        <w:left w:val="none" w:sz="0" w:space="0" w:color="auto"/>
        <w:bottom w:val="none" w:sz="0" w:space="0" w:color="auto"/>
        <w:right w:val="none" w:sz="0" w:space="0" w:color="auto"/>
      </w:divBdr>
      <w:divsChild>
        <w:div w:id="1359042240">
          <w:marLeft w:val="0"/>
          <w:marRight w:val="0"/>
          <w:marTop w:val="0"/>
          <w:marBottom w:val="0"/>
          <w:divBdr>
            <w:top w:val="none" w:sz="0" w:space="0" w:color="auto"/>
            <w:left w:val="none" w:sz="0" w:space="0" w:color="auto"/>
            <w:bottom w:val="none" w:sz="0" w:space="0" w:color="auto"/>
            <w:right w:val="none" w:sz="0" w:space="0" w:color="auto"/>
          </w:divBdr>
          <w:divsChild>
            <w:div w:id="1804615506">
              <w:marLeft w:val="0"/>
              <w:marRight w:val="0"/>
              <w:marTop w:val="0"/>
              <w:marBottom w:val="0"/>
              <w:divBdr>
                <w:top w:val="none" w:sz="0" w:space="0" w:color="auto"/>
                <w:left w:val="none" w:sz="0" w:space="0" w:color="auto"/>
                <w:bottom w:val="none" w:sz="0" w:space="0" w:color="auto"/>
                <w:right w:val="none" w:sz="0" w:space="0" w:color="auto"/>
              </w:divBdr>
              <w:divsChild>
                <w:div w:id="206652407">
                  <w:marLeft w:val="0"/>
                  <w:marRight w:val="0"/>
                  <w:marTop w:val="0"/>
                  <w:marBottom w:val="0"/>
                  <w:divBdr>
                    <w:top w:val="none" w:sz="0" w:space="0" w:color="auto"/>
                    <w:left w:val="none" w:sz="0" w:space="0" w:color="auto"/>
                    <w:bottom w:val="none" w:sz="0" w:space="0" w:color="auto"/>
                    <w:right w:val="none" w:sz="0" w:space="0" w:color="auto"/>
                  </w:divBdr>
                  <w:divsChild>
                    <w:div w:id="5353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70216">
      <w:bodyDiv w:val="1"/>
      <w:marLeft w:val="0"/>
      <w:marRight w:val="0"/>
      <w:marTop w:val="0"/>
      <w:marBottom w:val="0"/>
      <w:divBdr>
        <w:top w:val="none" w:sz="0" w:space="0" w:color="auto"/>
        <w:left w:val="none" w:sz="0" w:space="0" w:color="auto"/>
        <w:bottom w:val="none" w:sz="0" w:space="0" w:color="auto"/>
        <w:right w:val="none" w:sz="0" w:space="0" w:color="auto"/>
      </w:divBdr>
    </w:div>
    <w:div w:id="5600997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428">
          <w:marLeft w:val="0"/>
          <w:marRight w:val="0"/>
          <w:marTop w:val="0"/>
          <w:marBottom w:val="0"/>
          <w:divBdr>
            <w:top w:val="none" w:sz="0" w:space="0" w:color="auto"/>
            <w:left w:val="none" w:sz="0" w:space="0" w:color="auto"/>
            <w:bottom w:val="none" w:sz="0" w:space="0" w:color="auto"/>
            <w:right w:val="none" w:sz="0" w:space="0" w:color="auto"/>
          </w:divBdr>
          <w:divsChild>
            <w:div w:id="433553192">
              <w:marLeft w:val="0"/>
              <w:marRight w:val="0"/>
              <w:marTop w:val="0"/>
              <w:marBottom w:val="0"/>
              <w:divBdr>
                <w:top w:val="none" w:sz="0" w:space="0" w:color="auto"/>
                <w:left w:val="none" w:sz="0" w:space="0" w:color="auto"/>
                <w:bottom w:val="none" w:sz="0" w:space="0" w:color="auto"/>
                <w:right w:val="none" w:sz="0" w:space="0" w:color="auto"/>
              </w:divBdr>
              <w:divsChild>
                <w:div w:id="823663902">
                  <w:marLeft w:val="0"/>
                  <w:marRight w:val="0"/>
                  <w:marTop w:val="0"/>
                  <w:marBottom w:val="0"/>
                  <w:divBdr>
                    <w:top w:val="none" w:sz="0" w:space="0" w:color="auto"/>
                    <w:left w:val="none" w:sz="0" w:space="0" w:color="auto"/>
                    <w:bottom w:val="none" w:sz="0" w:space="0" w:color="auto"/>
                    <w:right w:val="none" w:sz="0" w:space="0" w:color="auto"/>
                  </w:divBdr>
                  <w:divsChild>
                    <w:div w:id="16298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6266">
      <w:bodyDiv w:val="1"/>
      <w:marLeft w:val="0"/>
      <w:marRight w:val="0"/>
      <w:marTop w:val="0"/>
      <w:marBottom w:val="0"/>
      <w:divBdr>
        <w:top w:val="none" w:sz="0" w:space="0" w:color="auto"/>
        <w:left w:val="none" w:sz="0" w:space="0" w:color="auto"/>
        <w:bottom w:val="none" w:sz="0" w:space="0" w:color="auto"/>
        <w:right w:val="none" w:sz="0" w:space="0" w:color="auto"/>
      </w:divBdr>
    </w:div>
    <w:div w:id="721712201">
      <w:bodyDiv w:val="1"/>
      <w:marLeft w:val="0"/>
      <w:marRight w:val="0"/>
      <w:marTop w:val="0"/>
      <w:marBottom w:val="0"/>
      <w:divBdr>
        <w:top w:val="none" w:sz="0" w:space="0" w:color="auto"/>
        <w:left w:val="none" w:sz="0" w:space="0" w:color="auto"/>
        <w:bottom w:val="none" w:sz="0" w:space="0" w:color="auto"/>
        <w:right w:val="none" w:sz="0" w:space="0" w:color="auto"/>
      </w:divBdr>
    </w:div>
    <w:div w:id="747116386">
      <w:bodyDiv w:val="1"/>
      <w:marLeft w:val="0"/>
      <w:marRight w:val="0"/>
      <w:marTop w:val="0"/>
      <w:marBottom w:val="0"/>
      <w:divBdr>
        <w:top w:val="none" w:sz="0" w:space="0" w:color="auto"/>
        <w:left w:val="none" w:sz="0" w:space="0" w:color="auto"/>
        <w:bottom w:val="none" w:sz="0" w:space="0" w:color="auto"/>
        <w:right w:val="none" w:sz="0" w:space="0" w:color="auto"/>
      </w:divBdr>
    </w:div>
    <w:div w:id="823861819">
      <w:bodyDiv w:val="1"/>
      <w:marLeft w:val="0"/>
      <w:marRight w:val="0"/>
      <w:marTop w:val="0"/>
      <w:marBottom w:val="0"/>
      <w:divBdr>
        <w:top w:val="none" w:sz="0" w:space="0" w:color="auto"/>
        <w:left w:val="none" w:sz="0" w:space="0" w:color="auto"/>
        <w:bottom w:val="none" w:sz="0" w:space="0" w:color="auto"/>
        <w:right w:val="none" w:sz="0" w:space="0" w:color="auto"/>
      </w:divBdr>
    </w:div>
    <w:div w:id="834104864">
      <w:bodyDiv w:val="1"/>
      <w:marLeft w:val="0"/>
      <w:marRight w:val="0"/>
      <w:marTop w:val="0"/>
      <w:marBottom w:val="0"/>
      <w:divBdr>
        <w:top w:val="none" w:sz="0" w:space="0" w:color="auto"/>
        <w:left w:val="none" w:sz="0" w:space="0" w:color="auto"/>
        <w:bottom w:val="none" w:sz="0" w:space="0" w:color="auto"/>
        <w:right w:val="none" w:sz="0" w:space="0" w:color="auto"/>
      </w:divBdr>
      <w:divsChild>
        <w:div w:id="1496071707">
          <w:marLeft w:val="0"/>
          <w:marRight w:val="0"/>
          <w:marTop w:val="0"/>
          <w:marBottom w:val="0"/>
          <w:divBdr>
            <w:top w:val="none" w:sz="0" w:space="0" w:color="auto"/>
            <w:left w:val="none" w:sz="0" w:space="0" w:color="auto"/>
            <w:bottom w:val="none" w:sz="0" w:space="0" w:color="auto"/>
            <w:right w:val="none" w:sz="0" w:space="0" w:color="auto"/>
          </w:divBdr>
          <w:divsChild>
            <w:div w:id="2109307815">
              <w:marLeft w:val="0"/>
              <w:marRight w:val="0"/>
              <w:marTop w:val="0"/>
              <w:marBottom w:val="0"/>
              <w:divBdr>
                <w:top w:val="none" w:sz="0" w:space="0" w:color="auto"/>
                <w:left w:val="none" w:sz="0" w:space="0" w:color="auto"/>
                <w:bottom w:val="none" w:sz="0" w:space="0" w:color="auto"/>
                <w:right w:val="none" w:sz="0" w:space="0" w:color="auto"/>
              </w:divBdr>
              <w:divsChild>
                <w:div w:id="415783852">
                  <w:marLeft w:val="0"/>
                  <w:marRight w:val="0"/>
                  <w:marTop w:val="0"/>
                  <w:marBottom w:val="0"/>
                  <w:divBdr>
                    <w:top w:val="none" w:sz="0" w:space="0" w:color="auto"/>
                    <w:left w:val="none" w:sz="0" w:space="0" w:color="auto"/>
                    <w:bottom w:val="none" w:sz="0" w:space="0" w:color="auto"/>
                    <w:right w:val="none" w:sz="0" w:space="0" w:color="auto"/>
                  </w:divBdr>
                  <w:divsChild>
                    <w:div w:id="268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0529">
      <w:bodyDiv w:val="1"/>
      <w:marLeft w:val="0"/>
      <w:marRight w:val="0"/>
      <w:marTop w:val="0"/>
      <w:marBottom w:val="0"/>
      <w:divBdr>
        <w:top w:val="none" w:sz="0" w:space="0" w:color="auto"/>
        <w:left w:val="none" w:sz="0" w:space="0" w:color="auto"/>
        <w:bottom w:val="none" w:sz="0" w:space="0" w:color="auto"/>
        <w:right w:val="none" w:sz="0" w:space="0" w:color="auto"/>
      </w:divBdr>
    </w:div>
    <w:div w:id="915632739">
      <w:bodyDiv w:val="1"/>
      <w:marLeft w:val="0"/>
      <w:marRight w:val="0"/>
      <w:marTop w:val="0"/>
      <w:marBottom w:val="0"/>
      <w:divBdr>
        <w:top w:val="none" w:sz="0" w:space="0" w:color="auto"/>
        <w:left w:val="none" w:sz="0" w:space="0" w:color="auto"/>
        <w:bottom w:val="none" w:sz="0" w:space="0" w:color="auto"/>
        <w:right w:val="none" w:sz="0" w:space="0" w:color="auto"/>
      </w:divBdr>
    </w:div>
    <w:div w:id="1256549315">
      <w:bodyDiv w:val="1"/>
      <w:marLeft w:val="0"/>
      <w:marRight w:val="0"/>
      <w:marTop w:val="0"/>
      <w:marBottom w:val="0"/>
      <w:divBdr>
        <w:top w:val="none" w:sz="0" w:space="0" w:color="auto"/>
        <w:left w:val="none" w:sz="0" w:space="0" w:color="auto"/>
        <w:bottom w:val="none" w:sz="0" w:space="0" w:color="auto"/>
        <w:right w:val="none" w:sz="0" w:space="0" w:color="auto"/>
      </w:divBdr>
    </w:div>
    <w:div w:id="1342582779">
      <w:bodyDiv w:val="1"/>
      <w:marLeft w:val="0"/>
      <w:marRight w:val="0"/>
      <w:marTop w:val="0"/>
      <w:marBottom w:val="0"/>
      <w:divBdr>
        <w:top w:val="none" w:sz="0" w:space="0" w:color="auto"/>
        <w:left w:val="none" w:sz="0" w:space="0" w:color="auto"/>
        <w:bottom w:val="none" w:sz="0" w:space="0" w:color="auto"/>
        <w:right w:val="none" w:sz="0" w:space="0" w:color="auto"/>
      </w:divBdr>
    </w:div>
    <w:div w:id="1433353852">
      <w:bodyDiv w:val="1"/>
      <w:marLeft w:val="0"/>
      <w:marRight w:val="0"/>
      <w:marTop w:val="0"/>
      <w:marBottom w:val="0"/>
      <w:divBdr>
        <w:top w:val="none" w:sz="0" w:space="0" w:color="auto"/>
        <w:left w:val="none" w:sz="0" w:space="0" w:color="auto"/>
        <w:bottom w:val="none" w:sz="0" w:space="0" w:color="auto"/>
        <w:right w:val="none" w:sz="0" w:space="0" w:color="auto"/>
      </w:divBdr>
      <w:divsChild>
        <w:div w:id="988825113">
          <w:marLeft w:val="0"/>
          <w:marRight w:val="0"/>
          <w:marTop w:val="0"/>
          <w:marBottom w:val="0"/>
          <w:divBdr>
            <w:top w:val="none" w:sz="0" w:space="0" w:color="auto"/>
            <w:left w:val="none" w:sz="0" w:space="0" w:color="auto"/>
            <w:bottom w:val="none" w:sz="0" w:space="0" w:color="auto"/>
            <w:right w:val="none" w:sz="0" w:space="0" w:color="auto"/>
          </w:divBdr>
          <w:divsChild>
            <w:div w:id="218252131">
              <w:marLeft w:val="0"/>
              <w:marRight w:val="0"/>
              <w:marTop w:val="0"/>
              <w:marBottom w:val="0"/>
              <w:divBdr>
                <w:top w:val="none" w:sz="0" w:space="0" w:color="auto"/>
                <w:left w:val="none" w:sz="0" w:space="0" w:color="auto"/>
                <w:bottom w:val="none" w:sz="0" w:space="0" w:color="auto"/>
                <w:right w:val="none" w:sz="0" w:space="0" w:color="auto"/>
              </w:divBdr>
              <w:divsChild>
                <w:div w:id="934704000">
                  <w:marLeft w:val="0"/>
                  <w:marRight w:val="0"/>
                  <w:marTop w:val="0"/>
                  <w:marBottom w:val="0"/>
                  <w:divBdr>
                    <w:top w:val="none" w:sz="0" w:space="0" w:color="auto"/>
                    <w:left w:val="none" w:sz="0" w:space="0" w:color="auto"/>
                    <w:bottom w:val="none" w:sz="0" w:space="0" w:color="auto"/>
                    <w:right w:val="none" w:sz="0" w:space="0" w:color="auto"/>
                  </w:divBdr>
                  <w:divsChild>
                    <w:div w:id="79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77519">
      <w:bodyDiv w:val="1"/>
      <w:marLeft w:val="0"/>
      <w:marRight w:val="0"/>
      <w:marTop w:val="0"/>
      <w:marBottom w:val="0"/>
      <w:divBdr>
        <w:top w:val="none" w:sz="0" w:space="0" w:color="auto"/>
        <w:left w:val="none" w:sz="0" w:space="0" w:color="auto"/>
        <w:bottom w:val="none" w:sz="0" w:space="0" w:color="auto"/>
        <w:right w:val="none" w:sz="0" w:space="0" w:color="auto"/>
      </w:divBdr>
    </w:div>
    <w:div w:id="1588996194">
      <w:bodyDiv w:val="1"/>
      <w:marLeft w:val="0"/>
      <w:marRight w:val="0"/>
      <w:marTop w:val="0"/>
      <w:marBottom w:val="0"/>
      <w:divBdr>
        <w:top w:val="none" w:sz="0" w:space="0" w:color="auto"/>
        <w:left w:val="none" w:sz="0" w:space="0" w:color="auto"/>
        <w:bottom w:val="none" w:sz="0" w:space="0" w:color="auto"/>
        <w:right w:val="none" w:sz="0" w:space="0" w:color="auto"/>
      </w:divBdr>
    </w:div>
    <w:div w:id="1648045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73">
          <w:marLeft w:val="0"/>
          <w:marRight w:val="0"/>
          <w:marTop w:val="0"/>
          <w:marBottom w:val="0"/>
          <w:divBdr>
            <w:top w:val="none" w:sz="0" w:space="0" w:color="auto"/>
            <w:left w:val="none" w:sz="0" w:space="0" w:color="auto"/>
            <w:bottom w:val="none" w:sz="0" w:space="0" w:color="auto"/>
            <w:right w:val="none" w:sz="0" w:space="0" w:color="auto"/>
          </w:divBdr>
          <w:divsChild>
            <w:div w:id="214129127">
              <w:marLeft w:val="0"/>
              <w:marRight w:val="0"/>
              <w:marTop w:val="0"/>
              <w:marBottom w:val="0"/>
              <w:divBdr>
                <w:top w:val="none" w:sz="0" w:space="0" w:color="auto"/>
                <w:left w:val="none" w:sz="0" w:space="0" w:color="auto"/>
                <w:bottom w:val="none" w:sz="0" w:space="0" w:color="auto"/>
                <w:right w:val="none" w:sz="0" w:space="0" w:color="auto"/>
              </w:divBdr>
              <w:divsChild>
                <w:div w:id="1512143140">
                  <w:marLeft w:val="0"/>
                  <w:marRight w:val="0"/>
                  <w:marTop w:val="0"/>
                  <w:marBottom w:val="0"/>
                  <w:divBdr>
                    <w:top w:val="none" w:sz="0" w:space="0" w:color="auto"/>
                    <w:left w:val="none" w:sz="0" w:space="0" w:color="auto"/>
                    <w:bottom w:val="none" w:sz="0" w:space="0" w:color="auto"/>
                    <w:right w:val="none" w:sz="0" w:space="0" w:color="auto"/>
                  </w:divBdr>
                  <w:divsChild>
                    <w:div w:id="1032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3702">
      <w:bodyDiv w:val="1"/>
      <w:marLeft w:val="0"/>
      <w:marRight w:val="0"/>
      <w:marTop w:val="0"/>
      <w:marBottom w:val="0"/>
      <w:divBdr>
        <w:top w:val="none" w:sz="0" w:space="0" w:color="auto"/>
        <w:left w:val="none" w:sz="0" w:space="0" w:color="auto"/>
        <w:bottom w:val="none" w:sz="0" w:space="0" w:color="auto"/>
        <w:right w:val="none" w:sz="0" w:space="0" w:color="auto"/>
      </w:divBdr>
    </w:div>
    <w:div w:id="1660570844">
      <w:bodyDiv w:val="1"/>
      <w:marLeft w:val="0"/>
      <w:marRight w:val="0"/>
      <w:marTop w:val="0"/>
      <w:marBottom w:val="0"/>
      <w:divBdr>
        <w:top w:val="none" w:sz="0" w:space="0" w:color="auto"/>
        <w:left w:val="none" w:sz="0" w:space="0" w:color="auto"/>
        <w:bottom w:val="none" w:sz="0" w:space="0" w:color="auto"/>
        <w:right w:val="none" w:sz="0" w:space="0" w:color="auto"/>
      </w:divBdr>
    </w:div>
    <w:div w:id="1702436487">
      <w:bodyDiv w:val="1"/>
      <w:marLeft w:val="0"/>
      <w:marRight w:val="0"/>
      <w:marTop w:val="0"/>
      <w:marBottom w:val="0"/>
      <w:divBdr>
        <w:top w:val="none" w:sz="0" w:space="0" w:color="auto"/>
        <w:left w:val="none" w:sz="0" w:space="0" w:color="auto"/>
        <w:bottom w:val="none" w:sz="0" w:space="0" w:color="auto"/>
        <w:right w:val="none" w:sz="0" w:space="0" w:color="auto"/>
      </w:divBdr>
      <w:divsChild>
        <w:div w:id="1335230767">
          <w:marLeft w:val="0"/>
          <w:marRight w:val="0"/>
          <w:marTop w:val="0"/>
          <w:marBottom w:val="0"/>
          <w:divBdr>
            <w:top w:val="none" w:sz="0" w:space="0" w:color="auto"/>
            <w:left w:val="none" w:sz="0" w:space="0" w:color="auto"/>
            <w:bottom w:val="none" w:sz="0" w:space="0" w:color="auto"/>
            <w:right w:val="none" w:sz="0" w:space="0" w:color="auto"/>
          </w:divBdr>
          <w:divsChild>
            <w:div w:id="844441254">
              <w:marLeft w:val="0"/>
              <w:marRight w:val="0"/>
              <w:marTop w:val="0"/>
              <w:marBottom w:val="0"/>
              <w:divBdr>
                <w:top w:val="none" w:sz="0" w:space="0" w:color="auto"/>
                <w:left w:val="none" w:sz="0" w:space="0" w:color="auto"/>
                <w:bottom w:val="none" w:sz="0" w:space="0" w:color="auto"/>
                <w:right w:val="none" w:sz="0" w:space="0" w:color="auto"/>
              </w:divBdr>
              <w:divsChild>
                <w:div w:id="895973883">
                  <w:marLeft w:val="0"/>
                  <w:marRight w:val="0"/>
                  <w:marTop w:val="0"/>
                  <w:marBottom w:val="0"/>
                  <w:divBdr>
                    <w:top w:val="none" w:sz="0" w:space="0" w:color="auto"/>
                    <w:left w:val="none" w:sz="0" w:space="0" w:color="auto"/>
                    <w:bottom w:val="none" w:sz="0" w:space="0" w:color="auto"/>
                    <w:right w:val="none" w:sz="0" w:space="0" w:color="auto"/>
                  </w:divBdr>
                  <w:divsChild>
                    <w:div w:id="1646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31147540">
      <w:bodyDiv w:val="1"/>
      <w:marLeft w:val="0"/>
      <w:marRight w:val="0"/>
      <w:marTop w:val="0"/>
      <w:marBottom w:val="0"/>
      <w:divBdr>
        <w:top w:val="none" w:sz="0" w:space="0" w:color="auto"/>
        <w:left w:val="none" w:sz="0" w:space="0" w:color="auto"/>
        <w:bottom w:val="none" w:sz="0" w:space="0" w:color="auto"/>
        <w:right w:val="none" w:sz="0" w:space="0" w:color="auto"/>
      </w:divBdr>
      <w:divsChild>
        <w:div w:id="1663241913">
          <w:marLeft w:val="0"/>
          <w:marRight w:val="0"/>
          <w:marTop w:val="0"/>
          <w:marBottom w:val="0"/>
          <w:divBdr>
            <w:top w:val="none" w:sz="0" w:space="0" w:color="auto"/>
            <w:left w:val="none" w:sz="0" w:space="0" w:color="auto"/>
            <w:bottom w:val="none" w:sz="0" w:space="0" w:color="auto"/>
            <w:right w:val="none" w:sz="0" w:space="0" w:color="auto"/>
          </w:divBdr>
          <w:divsChild>
            <w:div w:id="1495027159">
              <w:marLeft w:val="0"/>
              <w:marRight w:val="0"/>
              <w:marTop w:val="0"/>
              <w:marBottom w:val="0"/>
              <w:divBdr>
                <w:top w:val="none" w:sz="0" w:space="0" w:color="auto"/>
                <w:left w:val="none" w:sz="0" w:space="0" w:color="auto"/>
                <w:bottom w:val="none" w:sz="0" w:space="0" w:color="auto"/>
                <w:right w:val="none" w:sz="0" w:space="0" w:color="auto"/>
              </w:divBdr>
              <w:divsChild>
                <w:div w:id="2113894511">
                  <w:marLeft w:val="0"/>
                  <w:marRight w:val="0"/>
                  <w:marTop w:val="0"/>
                  <w:marBottom w:val="0"/>
                  <w:divBdr>
                    <w:top w:val="none" w:sz="0" w:space="0" w:color="auto"/>
                    <w:left w:val="none" w:sz="0" w:space="0" w:color="auto"/>
                    <w:bottom w:val="none" w:sz="0" w:space="0" w:color="auto"/>
                    <w:right w:val="none" w:sz="0" w:space="0" w:color="auto"/>
                  </w:divBdr>
                  <w:divsChild>
                    <w:div w:id="1416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8346">
      <w:bodyDiv w:val="1"/>
      <w:marLeft w:val="0"/>
      <w:marRight w:val="0"/>
      <w:marTop w:val="0"/>
      <w:marBottom w:val="0"/>
      <w:divBdr>
        <w:top w:val="none" w:sz="0" w:space="0" w:color="auto"/>
        <w:left w:val="none" w:sz="0" w:space="0" w:color="auto"/>
        <w:bottom w:val="none" w:sz="0" w:space="0" w:color="auto"/>
        <w:right w:val="none" w:sz="0" w:space="0" w:color="auto"/>
      </w:divBdr>
    </w:div>
    <w:div w:id="1891457651">
      <w:bodyDiv w:val="1"/>
      <w:marLeft w:val="0"/>
      <w:marRight w:val="0"/>
      <w:marTop w:val="0"/>
      <w:marBottom w:val="0"/>
      <w:divBdr>
        <w:top w:val="none" w:sz="0" w:space="0" w:color="auto"/>
        <w:left w:val="none" w:sz="0" w:space="0" w:color="auto"/>
        <w:bottom w:val="none" w:sz="0" w:space="0" w:color="auto"/>
        <w:right w:val="none" w:sz="0" w:space="0" w:color="auto"/>
      </w:divBdr>
    </w:div>
    <w:div w:id="1968969088">
      <w:bodyDiv w:val="1"/>
      <w:marLeft w:val="0"/>
      <w:marRight w:val="0"/>
      <w:marTop w:val="0"/>
      <w:marBottom w:val="0"/>
      <w:divBdr>
        <w:top w:val="none" w:sz="0" w:space="0" w:color="auto"/>
        <w:left w:val="none" w:sz="0" w:space="0" w:color="auto"/>
        <w:bottom w:val="none" w:sz="0" w:space="0" w:color="auto"/>
        <w:right w:val="none" w:sz="0" w:space="0" w:color="auto"/>
      </w:divBdr>
    </w:div>
    <w:div w:id="1992171475">
      <w:bodyDiv w:val="1"/>
      <w:marLeft w:val="0"/>
      <w:marRight w:val="0"/>
      <w:marTop w:val="0"/>
      <w:marBottom w:val="0"/>
      <w:divBdr>
        <w:top w:val="none" w:sz="0" w:space="0" w:color="auto"/>
        <w:left w:val="none" w:sz="0" w:space="0" w:color="auto"/>
        <w:bottom w:val="none" w:sz="0" w:space="0" w:color="auto"/>
        <w:right w:val="none" w:sz="0" w:space="0" w:color="auto"/>
      </w:divBdr>
    </w:div>
    <w:div w:id="2003123878">
      <w:bodyDiv w:val="1"/>
      <w:marLeft w:val="0"/>
      <w:marRight w:val="0"/>
      <w:marTop w:val="0"/>
      <w:marBottom w:val="0"/>
      <w:divBdr>
        <w:top w:val="none" w:sz="0" w:space="0" w:color="auto"/>
        <w:left w:val="none" w:sz="0" w:space="0" w:color="auto"/>
        <w:bottom w:val="none" w:sz="0" w:space="0" w:color="auto"/>
        <w:right w:val="none" w:sz="0" w:space="0" w:color="auto"/>
      </w:divBdr>
      <w:divsChild>
        <w:div w:id="211120956">
          <w:marLeft w:val="0"/>
          <w:marRight w:val="0"/>
          <w:marTop w:val="0"/>
          <w:marBottom w:val="0"/>
          <w:divBdr>
            <w:top w:val="none" w:sz="0" w:space="0" w:color="auto"/>
            <w:left w:val="none" w:sz="0" w:space="0" w:color="auto"/>
            <w:bottom w:val="none" w:sz="0" w:space="0" w:color="auto"/>
            <w:right w:val="none" w:sz="0" w:space="0" w:color="auto"/>
          </w:divBdr>
          <w:divsChild>
            <w:div w:id="1330138161">
              <w:marLeft w:val="0"/>
              <w:marRight w:val="0"/>
              <w:marTop w:val="0"/>
              <w:marBottom w:val="0"/>
              <w:divBdr>
                <w:top w:val="none" w:sz="0" w:space="0" w:color="auto"/>
                <w:left w:val="none" w:sz="0" w:space="0" w:color="auto"/>
                <w:bottom w:val="none" w:sz="0" w:space="0" w:color="auto"/>
                <w:right w:val="none" w:sz="0" w:space="0" w:color="auto"/>
              </w:divBdr>
              <w:divsChild>
                <w:div w:id="1761021925">
                  <w:marLeft w:val="0"/>
                  <w:marRight w:val="0"/>
                  <w:marTop w:val="0"/>
                  <w:marBottom w:val="0"/>
                  <w:divBdr>
                    <w:top w:val="none" w:sz="0" w:space="0" w:color="auto"/>
                    <w:left w:val="none" w:sz="0" w:space="0" w:color="auto"/>
                    <w:bottom w:val="none" w:sz="0" w:space="0" w:color="auto"/>
                    <w:right w:val="none" w:sz="0" w:space="0" w:color="auto"/>
                  </w:divBdr>
                  <w:divsChild>
                    <w:div w:id="19305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7509">
      <w:bodyDiv w:val="1"/>
      <w:marLeft w:val="0"/>
      <w:marRight w:val="0"/>
      <w:marTop w:val="0"/>
      <w:marBottom w:val="0"/>
      <w:divBdr>
        <w:top w:val="none" w:sz="0" w:space="0" w:color="auto"/>
        <w:left w:val="none" w:sz="0" w:space="0" w:color="auto"/>
        <w:bottom w:val="none" w:sz="0" w:space="0" w:color="auto"/>
        <w:right w:val="none" w:sz="0" w:space="0" w:color="auto"/>
      </w:divBdr>
    </w:div>
    <w:div w:id="2028631239">
      <w:bodyDiv w:val="1"/>
      <w:marLeft w:val="0"/>
      <w:marRight w:val="0"/>
      <w:marTop w:val="0"/>
      <w:marBottom w:val="0"/>
      <w:divBdr>
        <w:top w:val="none" w:sz="0" w:space="0" w:color="auto"/>
        <w:left w:val="none" w:sz="0" w:space="0" w:color="auto"/>
        <w:bottom w:val="none" w:sz="0" w:space="0" w:color="auto"/>
        <w:right w:val="none" w:sz="0" w:space="0" w:color="auto"/>
      </w:divBdr>
      <w:divsChild>
        <w:div w:id="684065141">
          <w:marLeft w:val="0"/>
          <w:marRight w:val="0"/>
          <w:marTop w:val="0"/>
          <w:marBottom w:val="0"/>
          <w:divBdr>
            <w:top w:val="none" w:sz="0" w:space="0" w:color="auto"/>
            <w:left w:val="none" w:sz="0" w:space="0" w:color="auto"/>
            <w:bottom w:val="none" w:sz="0" w:space="0" w:color="auto"/>
            <w:right w:val="none" w:sz="0" w:space="0" w:color="auto"/>
          </w:divBdr>
          <w:divsChild>
            <w:div w:id="1026100076">
              <w:marLeft w:val="0"/>
              <w:marRight w:val="0"/>
              <w:marTop w:val="0"/>
              <w:marBottom w:val="0"/>
              <w:divBdr>
                <w:top w:val="none" w:sz="0" w:space="0" w:color="auto"/>
                <w:left w:val="none" w:sz="0" w:space="0" w:color="auto"/>
                <w:bottom w:val="none" w:sz="0" w:space="0" w:color="auto"/>
                <w:right w:val="none" w:sz="0" w:space="0" w:color="auto"/>
              </w:divBdr>
              <w:divsChild>
                <w:div w:id="1614483996">
                  <w:marLeft w:val="0"/>
                  <w:marRight w:val="0"/>
                  <w:marTop w:val="0"/>
                  <w:marBottom w:val="0"/>
                  <w:divBdr>
                    <w:top w:val="none" w:sz="0" w:space="0" w:color="auto"/>
                    <w:left w:val="none" w:sz="0" w:space="0" w:color="auto"/>
                    <w:bottom w:val="none" w:sz="0" w:space="0" w:color="auto"/>
                    <w:right w:val="none" w:sz="0" w:space="0" w:color="auto"/>
                  </w:divBdr>
                  <w:divsChild>
                    <w:div w:id="19768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9791">
      <w:bodyDiv w:val="1"/>
      <w:marLeft w:val="0"/>
      <w:marRight w:val="0"/>
      <w:marTop w:val="0"/>
      <w:marBottom w:val="0"/>
      <w:divBdr>
        <w:top w:val="none" w:sz="0" w:space="0" w:color="auto"/>
        <w:left w:val="none" w:sz="0" w:space="0" w:color="auto"/>
        <w:bottom w:val="none" w:sz="0" w:space="0" w:color="auto"/>
        <w:right w:val="none" w:sz="0" w:space="0" w:color="auto"/>
      </w:divBdr>
    </w:div>
    <w:div w:id="21252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9552-D87E-2C4D-83F6-6F6F00E8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2137</Words>
  <Characters>12184</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González Forero</dc:creator>
  <cp:keywords/>
  <dc:description/>
  <cp:lastModifiedBy>Santiago Gutierrez</cp:lastModifiedBy>
  <cp:revision>2</cp:revision>
  <dcterms:created xsi:type="dcterms:W3CDTF">2022-05-11T21:34:00Z</dcterms:created>
  <dcterms:modified xsi:type="dcterms:W3CDTF">2022-05-11T21:34:00Z</dcterms:modified>
</cp:coreProperties>
</file>